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6"/>
        <w:gridCol w:w="1080"/>
        <w:gridCol w:w="2032"/>
        <w:gridCol w:w="2315"/>
      </w:tblGrid>
      <w:tr w:rsidR="00EB698C">
        <w:trPr>
          <w:trHeight w:hRule="exact" w:val="816"/>
        </w:trPr>
        <w:tc>
          <w:tcPr>
            <w:tcW w:w="11342" w:type="dxa"/>
            <w:gridSpan w:val="4"/>
            <w:tcBorders>
              <w:left w:val="single" w:sz="17" w:space="0" w:color="000000"/>
              <w:bottom w:val="single" w:sz="17" w:space="0" w:color="000000"/>
              <w:right w:val="single" w:sz="17" w:space="0" w:color="000000"/>
            </w:tcBorders>
          </w:tcPr>
          <w:p w:rsidR="00EB698C" w:rsidRDefault="001E36A6" w:rsidP="001E36A6">
            <w:pPr>
              <w:pStyle w:val="TableParagraph"/>
              <w:spacing w:before="176"/>
              <w:ind w:left="141"/>
              <w:jc w:val="center"/>
              <w:rPr>
                <w:b/>
                <w:sz w:val="36"/>
              </w:rPr>
            </w:pPr>
            <w:r>
              <w:rPr>
                <w:b/>
                <w:color w:val="0000FF"/>
                <w:sz w:val="36"/>
              </w:rPr>
              <w:t>TRADITIONAL</w:t>
            </w:r>
            <w:r w:rsidR="00B75C2A">
              <w:rPr>
                <w:b/>
                <w:color w:val="0000FF"/>
                <w:sz w:val="36"/>
              </w:rPr>
              <w:t xml:space="preserve"> OFFICER VACANCY ANNOUNCEMENT</w:t>
            </w:r>
          </w:p>
        </w:tc>
      </w:tr>
      <w:tr w:rsidR="00EB698C">
        <w:trPr>
          <w:trHeight w:hRule="exact" w:val="634"/>
        </w:trPr>
        <w:tc>
          <w:tcPr>
            <w:tcW w:w="5916" w:type="dxa"/>
            <w:vMerge w:val="restart"/>
            <w:tcBorders>
              <w:top w:val="single" w:sz="17" w:space="0" w:color="000000"/>
              <w:left w:val="single" w:sz="17" w:space="0" w:color="000000"/>
              <w:right w:val="single" w:sz="7" w:space="0" w:color="000000"/>
            </w:tcBorders>
          </w:tcPr>
          <w:p w:rsidR="00EB698C" w:rsidRDefault="00B75C2A">
            <w:pPr>
              <w:pStyle w:val="TableParagraph"/>
              <w:spacing w:before="112" w:line="322" w:lineRule="exact"/>
              <w:ind w:right="1051"/>
              <w:rPr>
                <w:b/>
                <w:sz w:val="28"/>
              </w:rPr>
            </w:pPr>
            <w:r>
              <w:rPr>
                <w:b/>
                <w:sz w:val="28"/>
              </w:rPr>
              <w:t xml:space="preserve">NEW YORK AIR NATIONAL GUARD </w:t>
            </w:r>
            <w:r>
              <w:rPr>
                <w:b/>
                <w:color w:val="2E25E7"/>
                <w:sz w:val="28"/>
              </w:rPr>
              <w:t>106</w:t>
            </w:r>
            <w:r w:rsidR="001E36A6">
              <w:rPr>
                <w:b/>
                <w:color w:val="2E25E7"/>
                <w:sz w:val="28"/>
              </w:rPr>
              <w:t>th</w:t>
            </w:r>
            <w:r w:rsidR="001E36A6">
              <w:rPr>
                <w:b/>
                <w:color w:val="2E25E7"/>
                <w:sz w:val="28"/>
                <w:vertAlign w:val="superscript"/>
              </w:rPr>
              <w:t xml:space="preserve"> </w:t>
            </w:r>
            <w:r>
              <w:rPr>
                <w:b/>
                <w:color w:val="2E25E7"/>
                <w:sz w:val="28"/>
              </w:rPr>
              <w:t>RESCUE WING</w:t>
            </w:r>
          </w:p>
          <w:p w:rsidR="00EB698C" w:rsidRDefault="00B75C2A">
            <w:pPr>
              <w:pStyle w:val="TableParagraph"/>
              <w:spacing w:before="2" w:line="322" w:lineRule="exact"/>
              <w:ind w:right="2716"/>
              <w:rPr>
                <w:sz w:val="28"/>
              </w:rPr>
            </w:pPr>
            <w:r>
              <w:rPr>
                <w:sz w:val="28"/>
              </w:rPr>
              <w:t xml:space="preserve">F.S. </w:t>
            </w:r>
            <w:proofErr w:type="spellStart"/>
            <w:r>
              <w:rPr>
                <w:sz w:val="28"/>
              </w:rPr>
              <w:t>Gabreski</w:t>
            </w:r>
            <w:proofErr w:type="spellEnd"/>
            <w:r>
              <w:rPr>
                <w:sz w:val="28"/>
              </w:rPr>
              <w:t xml:space="preserve"> Airport 150 Old Riverhead</w:t>
            </w:r>
            <w:r>
              <w:rPr>
                <w:spacing w:val="-12"/>
                <w:sz w:val="28"/>
              </w:rPr>
              <w:t xml:space="preserve"> </w:t>
            </w:r>
            <w:r>
              <w:rPr>
                <w:sz w:val="28"/>
              </w:rPr>
              <w:t>Road</w:t>
            </w:r>
          </w:p>
          <w:p w:rsidR="00EB698C" w:rsidRDefault="00B75C2A">
            <w:pPr>
              <w:pStyle w:val="TableParagraph"/>
              <w:spacing w:line="316" w:lineRule="exact"/>
              <w:rPr>
                <w:sz w:val="28"/>
              </w:rPr>
            </w:pPr>
            <w:r>
              <w:rPr>
                <w:sz w:val="28"/>
              </w:rPr>
              <w:t>Westhampton Beach, NY 11978-1201</w:t>
            </w:r>
          </w:p>
        </w:tc>
        <w:tc>
          <w:tcPr>
            <w:tcW w:w="3112" w:type="dxa"/>
            <w:gridSpan w:val="2"/>
            <w:tcBorders>
              <w:top w:val="single" w:sz="17" w:space="0" w:color="000000"/>
              <w:left w:val="single" w:sz="7" w:space="0" w:color="000000"/>
              <w:bottom w:val="single" w:sz="6" w:space="0" w:color="000000"/>
              <w:right w:val="nil"/>
            </w:tcBorders>
          </w:tcPr>
          <w:p w:rsidR="00EB698C" w:rsidRDefault="00B75C2A">
            <w:pPr>
              <w:pStyle w:val="TableParagraph"/>
              <w:spacing w:before="138"/>
              <w:ind w:left="99"/>
              <w:rPr>
                <w:b/>
                <w:sz w:val="28"/>
              </w:rPr>
            </w:pPr>
            <w:r>
              <w:rPr>
                <w:b/>
                <w:sz w:val="28"/>
              </w:rPr>
              <w:t>ANNOUNCEMENT #:</w:t>
            </w:r>
          </w:p>
        </w:tc>
        <w:tc>
          <w:tcPr>
            <w:tcW w:w="2315" w:type="dxa"/>
            <w:tcBorders>
              <w:top w:val="single" w:sz="17" w:space="0" w:color="000000"/>
              <w:left w:val="nil"/>
              <w:bottom w:val="single" w:sz="6" w:space="0" w:color="000000"/>
              <w:right w:val="single" w:sz="17" w:space="0" w:color="000000"/>
            </w:tcBorders>
          </w:tcPr>
          <w:p w:rsidR="00EB698C" w:rsidRDefault="001E36A6">
            <w:pPr>
              <w:pStyle w:val="TableParagraph"/>
              <w:spacing w:before="138"/>
              <w:ind w:left="262"/>
              <w:rPr>
                <w:sz w:val="28"/>
              </w:rPr>
            </w:pPr>
            <w:r>
              <w:rPr>
                <w:sz w:val="28"/>
              </w:rPr>
              <w:t>FY20-07</w:t>
            </w:r>
          </w:p>
        </w:tc>
      </w:tr>
      <w:tr w:rsidR="00EB698C">
        <w:trPr>
          <w:trHeight w:hRule="exact" w:val="607"/>
        </w:trPr>
        <w:tc>
          <w:tcPr>
            <w:tcW w:w="5916" w:type="dxa"/>
            <w:vMerge/>
            <w:tcBorders>
              <w:left w:val="single" w:sz="17" w:space="0" w:color="000000"/>
              <w:right w:val="single" w:sz="7" w:space="0" w:color="000000"/>
            </w:tcBorders>
          </w:tcPr>
          <w:p w:rsidR="00EB698C" w:rsidRDefault="00EB698C"/>
        </w:tc>
        <w:tc>
          <w:tcPr>
            <w:tcW w:w="1080" w:type="dxa"/>
            <w:tcBorders>
              <w:top w:val="single" w:sz="6" w:space="0" w:color="000000"/>
              <w:left w:val="single" w:sz="7" w:space="0" w:color="000000"/>
              <w:bottom w:val="single" w:sz="6" w:space="0" w:color="000000"/>
              <w:right w:val="nil"/>
            </w:tcBorders>
          </w:tcPr>
          <w:p w:rsidR="00EB698C" w:rsidRDefault="00B75C2A">
            <w:pPr>
              <w:pStyle w:val="TableParagraph"/>
              <w:spacing w:before="133"/>
              <w:ind w:left="80" w:right="96"/>
              <w:jc w:val="center"/>
              <w:rPr>
                <w:b/>
                <w:sz w:val="28"/>
              </w:rPr>
            </w:pPr>
            <w:r>
              <w:rPr>
                <w:b/>
                <w:sz w:val="28"/>
              </w:rPr>
              <w:t>DATE:</w:t>
            </w:r>
          </w:p>
        </w:tc>
        <w:tc>
          <w:tcPr>
            <w:tcW w:w="2032" w:type="dxa"/>
            <w:tcBorders>
              <w:top w:val="single" w:sz="6" w:space="0" w:color="000000"/>
              <w:left w:val="nil"/>
              <w:bottom w:val="single" w:sz="6" w:space="0" w:color="000000"/>
              <w:right w:val="nil"/>
            </w:tcBorders>
          </w:tcPr>
          <w:p w:rsidR="00EB698C" w:rsidRDefault="001E36A6">
            <w:pPr>
              <w:pStyle w:val="TableParagraph"/>
              <w:spacing w:before="133"/>
              <w:ind w:left="117"/>
              <w:rPr>
                <w:sz w:val="28"/>
              </w:rPr>
            </w:pPr>
            <w:r>
              <w:rPr>
                <w:sz w:val="28"/>
              </w:rPr>
              <w:t>12 FEB 2020</w:t>
            </w:r>
          </w:p>
        </w:tc>
        <w:tc>
          <w:tcPr>
            <w:tcW w:w="2315" w:type="dxa"/>
            <w:tcBorders>
              <w:top w:val="single" w:sz="6" w:space="0" w:color="000000"/>
              <w:left w:val="nil"/>
              <w:bottom w:val="single" w:sz="6" w:space="0" w:color="000000"/>
              <w:right w:val="single" w:sz="17" w:space="0" w:color="000000"/>
            </w:tcBorders>
          </w:tcPr>
          <w:p w:rsidR="00EB698C" w:rsidRDefault="00EB698C"/>
        </w:tc>
      </w:tr>
      <w:tr w:rsidR="00EB698C">
        <w:trPr>
          <w:trHeight w:hRule="exact" w:val="617"/>
        </w:trPr>
        <w:tc>
          <w:tcPr>
            <w:tcW w:w="5916" w:type="dxa"/>
            <w:vMerge/>
            <w:tcBorders>
              <w:left w:val="single" w:sz="17" w:space="0" w:color="000000"/>
              <w:bottom w:val="single" w:sz="4" w:space="0" w:color="000000"/>
              <w:right w:val="single" w:sz="7" w:space="0" w:color="000000"/>
            </w:tcBorders>
          </w:tcPr>
          <w:p w:rsidR="00EB698C" w:rsidRDefault="00EB698C"/>
        </w:tc>
        <w:tc>
          <w:tcPr>
            <w:tcW w:w="5426" w:type="dxa"/>
            <w:gridSpan w:val="3"/>
            <w:tcBorders>
              <w:top w:val="single" w:sz="6" w:space="0" w:color="000000"/>
              <w:left w:val="single" w:sz="4" w:space="0" w:color="000000"/>
              <w:bottom w:val="single" w:sz="4" w:space="0" w:color="000000"/>
              <w:right w:val="single" w:sz="17" w:space="0" w:color="000000"/>
            </w:tcBorders>
          </w:tcPr>
          <w:p w:rsidR="00EB698C" w:rsidRDefault="00B75C2A">
            <w:pPr>
              <w:pStyle w:val="TableParagraph"/>
              <w:tabs>
                <w:tab w:val="left" w:pos="2568"/>
              </w:tabs>
              <w:spacing w:before="138"/>
              <w:ind w:left="103"/>
              <w:rPr>
                <w:b/>
                <w:sz w:val="28"/>
              </w:rPr>
            </w:pPr>
            <w:r>
              <w:rPr>
                <w:b/>
                <w:color w:val="FF0000"/>
                <w:sz w:val="28"/>
              </w:rPr>
              <w:t>CLOSING</w:t>
            </w:r>
            <w:r>
              <w:rPr>
                <w:b/>
                <w:color w:val="FF0000"/>
                <w:spacing w:val="-4"/>
                <w:sz w:val="28"/>
              </w:rPr>
              <w:t xml:space="preserve"> </w:t>
            </w:r>
            <w:r w:rsidR="001E36A6">
              <w:rPr>
                <w:b/>
                <w:color w:val="FF0000"/>
                <w:sz w:val="28"/>
              </w:rPr>
              <w:t>DATE:</w:t>
            </w:r>
            <w:r w:rsidR="001E36A6">
              <w:rPr>
                <w:b/>
                <w:color w:val="FF0000"/>
                <w:sz w:val="28"/>
              </w:rPr>
              <w:tab/>
              <w:t>01 APR</w:t>
            </w:r>
            <w:r>
              <w:rPr>
                <w:b/>
                <w:color w:val="FF0000"/>
                <w:spacing w:val="-2"/>
                <w:sz w:val="28"/>
              </w:rPr>
              <w:t xml:space="preserve"> </w:t>
            </w:r>
            <w:r w:rsidR="001E36A6">
              <w:rPr>
                <w:b/>
                <w:color w:val="FF0000"/>
                <w:sz w:val="28"/>
              </w:rPr>
              <w:t>2020</w:t>
            </w:r>
          </w:p>
        </w:tc>
      </w:tr>
      <w:tr w:rsidR="00EB698C">
        <w:trPr>
          <w:trHeight w:hRule="exact" w:val="658"/>
        </w:trPr>
        <w:tc>
          <w:tcPr>
            <w:tcW w:w="5916" w:type="dxa"/>
            <w:tcBorders>
              <w:top w:val="single" w:sz="4" w:space="0" w:color="000000"/>
              <w:left w:val="single" w:sz="17" w:space="0" w:color="000000"/>
              <w:bottom w:val="single" w:sz="4" w:space="0" w:color="000000"/>
              <w:right w:val="single" w:sz="4" w:space="0" w:color="000000"/>
            </w:tcBorders>
          </w:tcPr>
          <w:p w:rsidR="00EB698C" w:rsidRDefault="00B75C2A">
            <w:pPr>
              <w:pStyle w:val="TableParagraph"/>
              <w:spacing w:before="159"/>
              <w:rPr>
                <w:b/>
                <w:sz w:val="28"/>
              </w:rPr>
            </w:pPr>
            <w:r>
              <w:rPr>
                <w:b/>
                <w:sz w:val="28"/>
              </w:rPr>
              <w:t>UNIT:  106th Force Support Squadron</w:t>
            </w:r>
          </w:p>
        </w:tc>
        <w:tc>
          <w:tcPr>
            <w:tcW w:w="1080" w:type="dxa"/>
            <w:tcBorders>
              <w:top w:val="single" w:sz="4" w:space="0" w:color="000000"/>
              <w:left w:val="single" w:sz="4" w:space="0" w:color="000000"/>
              <w:bottom w:val="single" w:sz="4" w:space="0" w:color="000000"/>
              <w:right w:val="nil"/>
            </w:tcBorders>
          </w:tcPr>
          <w:p w:rsidR="00EB698C" w:rsidRDefault="00B75C2A">
            <w:pPr>
              <w:pStyle w:val="TableParagraph"/>
              <w:spacing w:before="159"/>
              <w:ind w:left="83" w:right="96"/>
              <w:jc w:val="center"/>
              <w:rPr>
                <w:b/>
                <w:sz w:val="28"/>
              </w:rPr>
            </w:pPr>
            <w:r>
              <w:rPr>
                <w:b/>
                <w:sz w:val="28"/>
              </w:rPr>
              <w:t>AFSC:</w:t>
            </w:r>
          </w:p>
        </w:tc>
        <w:tc>
          <w:tcPr>
            <w:tcW w:w="4346" w:type="dxa"/>
            <w:gridSpan w:val="2"/>
            <w:tcBorders>
              <w:top w:val="single" w:sz="4" w:space="0" w:color="000000"/>
              <w:left w:val="nil"/>
              <w:bottom w:val="single" w:sz="4" w:space="0" w:color="000000"/>
              <w:right w:val="single" w:sz="17" w:space="0" w:color="000000"/>
            </w:tcBorders>
          </w:tcPr>
          <w:p w:rsidR="00EB698C" w:rsidRDefault="001E36A6">
            <w:pPr>
              <w:pStyle w:val="TableParagraph"/>
              <w:spacing w:before="159"/>
              <w:ind w:left="117"/>
              <w:rPr>
                <w:sz w:val="28"/>
              </w:rPr>
            </w:pPr>
            <w:r>
              <w:rPr>
                <w:sz w:val="28"/>
              </w:rPr>
              <w:t>38FX</w:t>
            </w:r>
            <w:r w:rsidR="00B75C2A">
              <w:rPr>
                <w:sz w:val="28"/>
              </w:rPr>
              <w:t xml:space="preserve"> (Entry Level</w:t>
            </w:r>
            <w:r>
              <w:rPr>
                <w:sz w:val="28"/>
              </w:rPr>
              <w:t xml:space="preserve"> or Qualified</w:t>
            </w:r>
            <w:r w:rsidR="00B75C2A">
              <w:rPr>
                <w:sz w:val="28"/>
              </w:rPr>
              <w:t>)</w:t>
            </w:r>
          </w:p>
        </w:tc>
      </w:tr>
      <w:tr w:rsidR="00EB698C">
        <w:trPr>
          <w:trHeight w:hRule="exact" w:val="334"/>
        </w:trPr>
        <w:tc>
          <w:tcPr>
            <w:tcW w:w="5916" w:type="dxa"/>
            <w:tcBorders>
              <w:top w:val="single" w:sz="4" w:space="0" w:color="000000"/>
              <w:left w:val="single" w:sz="17" w:space="0" w:color="000000"/>
              <w:bottom w:val="single" w:sz="6" w:space="0" w:color="000000"/>
              <w:right w:val="single" w:sz="4" w:space="0" w:color="000000"/>
            </w:tcBorders>
          </w:tcPr>
          <w:p w:rsidR="00EB698C" w:rsidRDefault="00B75C2A">
            <w:pPr>
              <w:pStyle w:val="TableParagraph"/>
              <w:tabs>
                <w:tab w:val="left" w:pos="4197"/>
              </w:tabs>
              <w:spacing w:line="319" w:lineRule="exact"/>
              <w:rPr>
                <w:sz w:val="28"/>
              </w:rPr>
            </w:pPr>
            <w:r>
              <w:rPr>
                <w:b/>
                <w:spacing w:val="-2"/>
                <w:sz w:val="28"/>
              </w:rPr>
              <w:t>MAX</w:t>
            </w:r>
            <w:r>
              <w:rPr>
                <w:b/>
                <w:spacing w:val="3"/>
                <w:sz w:val="28"/>
              </w:rPr>
              <w:t xml:space="preserve"> </w:t>
            </w:r>
            <w:r>
              <w:rPr>
                <w:b/>
                <w:sz w:val="28"/>
              </w:rPr>
              <w:t>AVAILABLE</w:t>
            </w:r>
            <w:r>
              <w:rPr>
                <w:b/>
                <w:spacing w:val="-2"/>
                <w:sz w:val="28"/>
              </w:rPr>
              <w:t xml:space="preserve"> </w:t>
            </w:r>
            <w:r>
              <w:rPr>
                <w:b/>
                <w:sz w:val="28"/>
              </w:rPr>
              <w:t>GRADE:</w:t>
            </w:r>
            <w:r>
              <w:rPr>
                <w:b/>
                <w:sz w:val="28"/>
              </w:rPr>
              <w:tab/>
            </w:r>
            <w:r>
              <w:rPr>
                <w:sz w:val="28"/>
              </w:rPr>
              <w:t>Major</w:t>
            </w:r>
          </w:p>
        </w:tc>
        <w:tc>
          <w:tcPr>
            <w:tcW w:w="5426" w:type="dxa"/>
            <w:gridSpan w:val="3"/>
            <w:vMerge w:val="restart"/>
            <w:tcBorders>
              <w:top w:val="single" w:sz="4" w:space="0" w:color="000000"/>
              <w:left w:val="single" w:sz="4" w:space="0" w:color="000000"/>
              <w:right w:val="single" w:sz="17" w:space="0" w:color="000000"/>
            </w:tcBorders>
          </w:tcPr>
          <w:p w:rsidR="00EB698C" w:rsidRDefault="00B75C2A">
            <w:pPr>
              <w:pStyle w:val="TableParagraph"/>
              <w:spacing w:before="39"/>
              <w:ind w:left="103"/>
              <w:rPr>
                <w:sz w:val="24"/>
              </w:rPr>
            </w:pPr>
            <w:r>
              <w:rPr>
                <w:b/>
                <w:sz w:val="24"/>
              </w:rPr>
              <w:t xml:space="preserve">AREA OF CONSIDERATION: </w:t>
            </w:r>
            <w:r>
              <w:rPr>
                <w:b/>
                <w:sz w:val="24"/>
                <w:u w:val="thick"/>
              </w:rPr>
              <w:t xml:space="preserve">Nationwide </w:t>
            </w:r>
            <w:r>
              <w:rPr>
                <w:sz w:val="24"/>
              </w:rPr>
              <w:t>All candidates may apply who meet the basic qualification for position and are eligible for membership in the NYANG.</w:t>
            </w:r>
          </w:p>
        </w:tc>
      </w:tr>
      <w:tr w:rsidR="00EB698C">
        <w:trPr>
          <w:trHeight w:hRule="exact" w:val="881"/>
        </w:trPr>
        <w:tc>
          <w:tcPr>
            <w:tcW w:w="5916" w:type="dxa"/>
            <w:tcBorders>
              <w:top w:val="single" w:sz="6" w:space="0" w:color="000000"/>
              <w:left w:val="single" w:sz="17" w:space="0" w:color="000000"/>
              <w:bottom w:val="single" w:sz="17" w:space="0" w:color="000000"/>
              <w:right w:val="single" w:sz="4" w:space="0" w:color="000000"/>
            </w:tcBorders>
          </w:tcPr>
          <w:p w:rsidR="00EB698C" w:rsidRDefault="006210A3">
            <w:pPr>
              <w:pStyle w:val="TableParagraph"/>
              <w:rPr>
                <w:sz w:val="24"/>
              </w:rPr>
            </w:pPr>
            <w:r>
              <w:rPr>
                <w:b/>
                <w:sz w:val="28"/>
              </w:rPr>
              <w:t>POSITION TITLE:</w:t>
            </w:r>
            <w:r w:rsidR="00B75C2A">
              <w:rPr>
                <w:sz w:val="24"/>
              </w:rPr>
              <w:t xml:space="preserve"> Force Support Officer</w:t>
            </w:r>
          </w:p>
          <w:p w:rsidR="00EB698C" w:rsidRDefault="006210A3">
            <w:pPr>
              <w:pStyle w:val="TableParagraph"/>
              <w:spacing w:before="3"/>
              <w:ind w:left="247"/>
              <w:rPr>
                <w:b/>
                <w:i/>
              </w:rPr>
            </w:pPr>
            <w:r>
              <w:rPr>
                <w:b/>
                <w:i/>
              </w:rPr>
              <w:t>(EXCESS</w:t>
            </w:r>
            <w:r w:rsidR="00B75C2A">
              <w:rPr>
                <w:b/>
                <w:i/>
              </w:rPr>
              <w:t xml:space="preserve"> DRILL STATUS POSITION – 1 POSITION)</w:t>
            </w:r>
          </w:p>
        </w:tc>
        <w:tc>
          <w:tcPr>
            <w:tcW w:w="5426" w:type="dxa"/>
            <w:gridSpan w:val="3"/>
            <w:vMerge/>
            <w:tcBorders>
              <w:left w:val="single" w:sz="4" w:space="0" w:color="000000"/>
              <w:bottom w:val="single" w:sz="17" w:space="0" w:color="000000"/>
              <w:right w:val="single" w:sz="17" w:space="0" w:color="000000"/>
            </w:tcBorders>
          </w:tcPr>
          <w:p w:rsidR="00EB698C" w:rsidRDefault="00EB698C"/>
        </w:tc>
      </w:tr>
      <w:tr w:rsidR="00EB698C">
        <w:trPr>
          <w:trHeight w:hRule="exact" w:val="1978"/>
        </w:trPr>
        <w:tc>
          <w:tcPr>
            <w:tcW w:w="11342" w:type="dxa"/>
            <w:gridSpan w:val="4"/>
            <w:tcBorders>
              <w:top w:val="single" w:sz="17" w:space="0" w:color="000000"/>
              <w:left w:val="single" w:sz="17" w:space="0" w:color="000000"/>
              <w:bottom w:val="single" w:sz="17" w:space="0" w:color="000000"/>
              <w:right w:val="single" w:sz="17" w:space="0" w:color="000000"/>
            </w:tcBorders>
          </w:tcPr>
          <w:p w:rsidR="00EB698C" w:rsidRDefault="00B75C2A">
            <w:pPr>
              <w:pStyle w:val="TableParagraph"/>
              <w:spacing w:line="274" w:lineRule="exact"/>
              <w:ind w:left="175" w:right="177"/>
              <w:jc w:val="center"/>
              <w:rPr>
                <w:b/>
                <w:sz w:val="24"/>
              </w:rPr>
            </w:pPr>
            <w:bookmarkStart w:id="0" w:name="SPECIALTY_SUMMARY"/>
            <w:bookmarkEnd w:id="0"/>
            <w:r>
              <w:rPr>
                <w:b/>
                <w:sz w:val="24"/>
              </w:rPr>
              <w:t>SPECIALTY</w:t>
            </w:r>
            <w:r>
              <w:rPr>
                <w:b/>
                <w:spacing w:val="-10"/>
                <w:sz w:val="24"/>
              </w:rPr>
              <w:t xml:space="preserve"> </w:t>
            </w:r>
            <w:r>
              <w:rPr>
                <w:b/>
                <w:sz w:val="24"/>
              </w:rPr>
              <w:t>SUMMARY</w:t>
            </w:r>
          </w:p>
          <w:p w:rsidR="00EB698C" w:rsidRDefault="00B75C2A">
            <w:pPr>
              <w:pStyle w:val="TableParagraph"/>
              <w:ind w:right="77"/>
              <w:jc w:val="both"/>
              <w:rPr>
                <w:sz w:val="24"/>
              </w:rPr>
            </w:pPr>
            <w:r>
              <w:rPr>
                <w:sz w:val="24"/>
              </w:rPr>
              <w:t>Define, develop, shape, sustain, and deliver mission-ready Airmen across the Total Force. Responsibilities include defining Air Force Manpower and Organization Requirements, managing Human Resources, managing and providing Education and Training Requiremen</w:t>
            </w:r>
            <w:r>
              <w:rPr>
                <w:sz w:val="24"/>
              </w:rPr>
              <w:t>ts, regenerating Airmen,  feeding Airmen, developing Human Capital Strategies, applying Laws and Policies, compensating Airmen, providing Force Readiness and Quality of Service Programs, and serves as senior staff advisor to</w:t>
            </w:r>
            <w:r>
              <w:rPr>
                <w:spacing w:val="-5"/>
                <w:sz w:val="24"/>
              </w:rPr>
              <w:t xml:space="preserve"> </w:t>
            </w:r>
            <w:r>
              <w:rPr>
                <w:sz w:val="24"/>
              </w:rPr>
              <w:t>commanders.</w:t>
            </w:r>
          </w:p>
        </w:tc>
      </w:tr>
      <w:tr w:rsidR="00EB698C" w:rsidTr="007C16FB">
        <w:trPr>
          <w:trHeight w:hRule="exact" w:val="8187"/>
        </w:trPr>
        <w:tc>
          <w:tcPr>
            <w:tcW w:w="11342" w:type="dxa"/>
            <w:gridSpan w:val="4"/>
            <w:tcBorders>
              <w:top w:val="single" w:sz="17" w:space="0" w:color="000000"/>
              <w:left w:val="single" w:sz="17" w:space="0" w:color="000000"/>
              <w:bottom w:val="single" w:sz="17" w:space="0" w:color="000000"/>
              <w:right w:val="single" w:sz="17" w:space="0" w:color="000000"/>
            </w:tcBorders>
          </w:tcPr>
          <w:p w:rsidR="00EB698C" w:rsidRDefault="00EB698C">
            <w:pPr>
              <w:pStyle w:val="TableParagraph"/>
              <w:spacing w:before="9"/>
              <w:ind w:left="0"/>
              <w:rPr>
                <w:rFonts w:ascii="Times New Roman"/>
                <w:sz w:val="23"/>
              </w:rPr>
            </w:pPr>
          </w:p>
          <w:p w:rsidR="00EB698C" w:rsidRDefault="00B75C2A">
            <w:pPr>
              <w:pStyle w:val="TableParagraph"/>
              <w:jc w:val="both"/>
              <w:rPr>
                <w:b/>
                <w:sz w:val="24"/>
              </w:rPr>
            </w:pPr>
            <w:r>
              <w:rPr>
                <w:b/>
                <w:sz w:val="24"/>
              </w:rPr>
              <w:t>QUALIFICATIONS AND SELECTION FACTORS:</w:t>
            </w:r>
          </w:p>
          <w:p w:rsidR="00EB698C" w:rsidRDefault="00B75C2A">
            <w:pPr>
              <w:pStyle w:val="TableParagraph"/>
              <w:numPr>
                <w:ilvl w:val="0"/>
                <w:numId w:val="1"/>
              </w:numPr>
              <w:tabs>
                <w:tab w:val="left" w:pos="447"/>
              </w:tabs>
              <w:ind w:right="78"/>
              <w:rPr>
                <w:sz w:val="24"/>
              </w:rPr>
            </w:pPr>
            <w:r>
              <w:rPr>
                <w:sz w:val="24"/>
              </w:rPr>
              <w:t>Selection for this position will be made without regard to race, religion, color, creed, gender, or national</w:t>
            </w:r>
            <w:r>
              <w:rPr>
                <w:spacing w:val="-9"/>
                <w:sz w:val="24"/>
              </w:rPr>
              <w:t xml:space="preserve"> </w:t>
            </w:r>
            <w:r>
              <w:rPr>
                <w:sz w:val="24"/>
              </w:rPr>
              <w:t>origin.</w:t>
            </w:r>
          </w:p>
          <w:p w:rsidR="00EB698C" w:rsidRDefault="00B75C2A">
            <w:pPr>
              <w:pStyle w:val="TableParagraph"/>
              <w:numPr>
                <w:ilvl w:val="0"/>
                <w:numId w:val="1"/>
              </w:numPr>
              <w:tabs>
                <w:tab w:val="left" w:pos="447"/>
              </w:tabs>
              <w:ind w:right="80"/>
              <w:rPr>
                <w:sz w:val="24"/>
              </w:rPr>
            </w:pPr>
            <w:r>
              <w:rPr>
                <w:sz w:val="24"/>
              </w:rPr>
              <w:t>Applicants are subject to review by the FSS and as mandatory requirements are met, as outlined in app</w:t>
            </w:r>
            <w:r>
              <w:rPr>
                <w:sz w:val="24"/>
              </w:rPr>
              <w:t>licable regulations, applicants must meet an Officer Screening and Interview Board</w:t>
            </w:r>
            <w:r>
              <w:rPr>
                <w:spacing w:val="-46"/>
                <w:sz w:val="24"/>
              </w:rPr>
              <w:t xml:space="preserve"> </w:t>
            </w:r>
            <w:r>
              <w:rPr>
                <w:sz w:val="24"/>
              </w:rPr>
              <w:t>(OSIB)</w:t>
            </w:r>
          </w:p>
          <w:p w:rsidR="00EB698C" w:rsidRDefault="00B75C2A">
            <w:pPr>
              <w:pStyle w:val="TableParagraph"/>
              <w:numPr>
                <w:ilvl w:val="0"/>
                <w:numId w:val="1"/>
              </w:numPr>
              <w:tabs>
                <w:tab w:val="left" w:pos="447"/>
              </w:tabs>
              <w:ind w:right="78"/>
              <w:jc w:val="both"/>
              <w:rPr>
                <w:sz w:val="24"/>
              </w:rPr>
            </w:pPr>
            <w:r>
              <w:rPr>
                <w:sz w:val="24"/>
              </w:rPr>
              <w:t xml:space="preserve">The requirements and qualifications prescribed in this announcement are the minimum </w:t>
            </w:r>
            <w:r w:rsidR="007C16FB">
              <w:rPr>
                <w:sz w:val="24"/>
              </w:rPr>
              <w:t>for nomination</w:t>
            </w:r>
            <w:r>
              <w:rPr>
                <w:sz w:val="24"/>
              </w:rPr>
              <w:t xml:space="preserve"> for appointment consideration. Appointment is not assured merely b</w:t>
            </w:r>
            <w:r>
              <w:rPr>
                <w:sz w:val="24"/>
              </w:rPr>
              <w:t>y meeting these requirements. Persons considered must further qualify with requirements outlined in applicable regulations</w:t>
            </w:r>
          </w:p>
          <w:p w:rsidR="00EB698C" w:rsidRDefault="00EB698C">
            <w:pPr>
              <w:pStyle w:val="TableParagraph"/>
              <w:ind w:left="0"/>
              <w:rPr>
                <w:rFonts w:ascii="Times New Roman"/>
                <w:sz w:val="24"/>
              </w:rPr>
            </w:pPr>
          </w:p>
          <w:p w:rsidR="00EB698C" w:rsidRDefault="00B75C2A">
            <w:pPr>
              <w:pStyle w:val="TableParagraph"/>
              <w:jc w:val="both"/>
              <w:rPr>
                <w:sz w:val="24"/>
              </w:rPr>
            </w:pPr>
            <w:r>
              <w:rPr>
                <w:b/>
                <w:sz w:val="24"/>
              </w:rPr>
              <w:t>MINIMUM QUALIFICATIONS</w:t>
            </w:r>
            <w:r>
              <w:rPr>
                <w:sz w:val="24"/>
              </w:rPr>
              <w:t>:</w:t>
            </w:r>
          </w:p>
          <w:p w:rsidR="007C16FB" w:rsidRDefault="007C16FB" w:rsidP="007C16FB">
            <w:pPr>
              <w:pStyle w:val="TableParagraph"/>
              <w:ind w:right="241"/>
              <w:rPr>
                <w:sz w:val="24"/>
              </w:rPr>
            </w:pPr>
            <w:r>
              <w:rPr>
                <w:sz w:val="24"/>
              </w:rPr>
              <w:t>Applicant must be less than 40 years old upon entering Total Force Officer Training, exceptions to age may be permitted for applicants with prior military service. Must satisfactorily complete an appointment physical. Must qualify for a secret security clearance. Applicants must  be able to meet all requirements PRIOR to package submittal, to include: obtaining a passing score on the Air Force Officer Qualifying Test (AFOQT),  meeting  the  Air  Force  Fitness  standards  as  well  as  the Weight and Body Fat</w:t>
            </w:r>
            <w:r>
              <w:rPr>
                <w:spacing w:val="-1"/>
                <w:sz w:val="24"/>
              </w:rPr>
              <w:t xml:space="preserve"> </w:t>
            </w:r>
            <w:r>
              <w:rPr>
                <w:sz w:val="24"/>
              </w:rPr>
              <w:t>standards.</w:t>
            </w:r>
          </w:p>
          <w:p w:rsidR="00EB698C" w:rsidRDefault="00EB698C">
            <w:pPr>
              <w:pStyle w:val="TableParagraph"/>
              <w:ind w:left="0"/>
              <w:rPr>
                <w:rFonts w:ascii="Times New Roman"/>
                <w:sz w:val="24"/>
              </w:rPr>
            </w:pPr>
          </w:p>
          <w:p w:rsidR="00EB698C" w:rsidRDefault="00B75C2A">
            <w:pPr>
              <w:pStyle w:val="TableParagraph"/>
              <w:jc w:val="both"/>
              <w:rPr>
                <w:sz w:val="24"/>
              </w:rPr>
            </w:pPr>
            <w:r>
              <w:rPr>
                <w:b/>
                <w:sz w:val="24"/>
              </w:rPr>
              <w:t>MANDATORY SCHOOL &amp; TRAINING</w:t>
            </w:r>
            <w:r>
              <w:rPr>
                <w:sz w:val="24"/>
              </w:rPr>
              <w:t>:</w:t>
            </w:r>
          </w:p>
          <w:p w:rsidR="00EB698C" w:rsidRDefault="00B75C2A">
            <w:pPr>
              <w:pStyle w:val="TableParagraph"/>
              <w:ind w:right="170"/>
              <w:jc w:val="both"/>
              <w:rPr>
                <w:sz w:val="24"/>
              </w:rPr>
            </w:pPr>
            <w:r>
              <w:rPr>
                <w:sz w:val="24"/>
              </w:rPr>
              <w:t>Upon selection, candidate must att</w:t>
            </w:r>
            <w:r>
              <w:rPr>
                <w:sz w:val="24"/>
              </w:rPr>
              <w:t xml:space="preserve">end Total Force Officer Training (TFOT), 40 training days at Maxwell AFB, then complete the </w:t>
            </w:r>
            <w:r w:rsidR="006210A3">
              <w:rPr>
                <w:sz w:val="24"/>
              </w:rPr>
              <w:t>Force Support</w:t>
            </w:r>
            <w:r>
              <w:rPr>
                <w:sz w:val="24"/>
              </w:rPr>
              <w:t xml:space="preserve"> Officer Initial Skills Training Course and Officer Field </w:t>
            </w:r>
            <w:r w:rsidR="006210A3">
              <w:rPr>
                <w:sz w:val="24"/>
              </w:rPr>
              <w:t>Education</w:t>
            </w:r>
            <w:r>
              <w:rPr>
                <w:sz w:val="24"/>
              </w:rPr>
              <w:t>.</w:t>
            </w:r>
          </w:p>
          <w:p w:rsidR="00EB698C" w:rsidRDefault="00EB698C">
            <w:pPr>
              <w:pStyle w:val="TableParagraph"/>
              <w:ind w:left="0"/>
              <w:rPr>
                <w:rFonts w:ascii="Times New Roman"/>
                <w:sz w:val="24"/>
              </w:rPr>
            </w:pPr>
          </w:p>
          <w:p w:rsidR="00EB698C" w:rsidRDefault="00B75C2A">
            <w:pPr>
              <w:pStyle w:val="TableParagraph"/>
              <w:jc w:val="both"/>
              <w:rPr>
                <w:b/>
                <w:sz w:val="24"/>
              </w:rPr>
            </w:pPr>
            <w:r>
              <w:rPr>
                <w:b/>
                <w:sz w:val="24"/>
              </w:rPr>
              <w:t>EDUCATION:</w:t>
            </w:r>
          </w:p>
          <w:p w:rsidR="00EB698C" w:rsidRDefault="00B75C2A">
            <w:pPr>
              <w:pStyle w:val="TableParagraph"/>
              <w:ind w:right="79"/>
              <w:jc w:val="both"/>
              <w:rPr>
                <w:sz w:val="24"/>
              </w:rPr>
            </w:pPr>
            <w:r>
              <w:rPr>
                <w:sz w:val="24"/>
              </w:rPr>
              <w:t xml:space="preserve">For entry into this specialty, an undergraduate degree is required prior to </w:t>
            </w:r>
            <w:r>
              <w:rPr>
                <w:sz w:val="24"/>
              </w:rPr>
              <w:t>selection. Specialization in Business Management, Mathematics, Industrial Engineering, Management Engineering, Finance, Economics, Public Administration or Human Resource Management is desirable.</w:t>
            </w:r>
          </w:p>
          <w:p w:rsidR="00EB698C" w:rsidRDefault="00EB698C">
            <w:pPr>
              <w:pStyle w:val="TableParagraph"/>
              <w:ind w:left="0"/>
              <w:rPr>
                <w:rFonts w:ascii="Times New Roman"/>
                <w:sz w:val="24"/>
              </w:rPr>
            </w:pPr>
          </w:p>
          <w:p w:rsidR="00EB698C" w:rsidRDefault="00B75C2A">
            <w:pPr>
              <w:pStyle w:val="TableParagraph"/>
              <w:ind w:left="179" w:right="177"/>
              <w:jc w:val="center"/>
              <w:rPr>
                <w:b/>
                <w:i/>
                <w:sz w:val="24"/>
              </w:rPr>
            </w:pPr>
            <w:bookmarkStart w:id="1" w:name="SEE_REVERSE"/>
            <w:bookmarkEnd w:id="1"/>
            <w:r>
              <w:rPr>
                <w:b/>
                <w:i/>
                <w:color w:val="FF0000"/>
                <w:sz w:val="24"/>
              </w:rPr>
              <w:t>SEE REVERSE</w:t>
            </w:r>
          </w:p>
        </w:tc>
      </w:tr>
    </w:tbl>
    <w:p w:rsidR="00EB698C" w:rsidRDefault="00EB698C">
      <w:pPr>
        <w:jc w:val="center"/>
        <w:rPr>
          <w:sz w:val="24"/>
        </w:rPr>
        <w:sectPr w:rsidR="00EB698C">
          <w:type w:val="continuous"/>
          <w:pgSz w:w="12240" w:h="15840"/>
          <w:pgMar w:top="540" w:right="300" w:bottom="280" w:left="320" w:header="720" w:footer="720" w:gutter="0"/>
          <w:cols w:space="720"/>
        </w:sectPr>
      </w:pPr>
    </w:p>
    <w:tbl>
      <w:tblPr>
        <w:tblW w:w="0" w:type="auto"/>
        <w:tblInd w:w="10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342"/>
      </w:tblGrid>
      <w:tr w:rsidR="00EB698C">
        <w:trPr>
          <w:trHeight w:hRule="exact" w:val="4186"/>
        </w:trPr>
        <w:tc>
          <w:tcPr>
            <w:tcW w:w="11342" w:type="dxa"/>
          </w:tcPr>
          <w:p w:rsidR="00EB698C" w:rsidRDefault="00B75C2A">
            <w:pPr>
              <w:pStyle w:val="TableParagraph"/>
              <w:spacing w:line="274" w:lineRule="exact"/>
              <w:jc w:val="both"/>
              <w:rPr>
                <w:b/>
                <w:sz w:val="24"/>
              </w:rPr>
            </w:pPr>
            <w:r>
              <w:rPr>
                <w:b/>
                <w:sz w:val="24"/>
              </w:rPr>
              <w:lastRenderedPageBreak/>
              <w:t>DUTIES AND RESPONSIBILITIES:</w:t>
            </w:r>
          </w:p>
          <w:p w:rsidR="00EB698C" w:rsidRDefault="00B75C2A">
            <w:pPr>
              <w:pStyle w:val="TableParagraph"/>
              <w:ind w:right="79"/>
              <w:jc w:val="both"/>
              <w:rPr>
                <w:sz w:val="24"/>
              </w:rPr>
            </w:pPr>
            <w:r>
              <w:rPr>
                <w:sz w:val="24"/>
              </w:rPr>
              <w:t>Formulate personnel plans and programs and develop policy to guide their implementation and execution. Translates program policy into directives, publications, and training manuals.</w:t>
            </w:r>
          </w:p>
          <w:p w:rsidR="00EB698C" w:rsidRDefault="00EB698C">
            <w:pPr>
              <w:pStyle w:val="TableParagraph"/>
              <w:ind w:left="0"/>
              <w:rPr>
                <w:rFonts w:ascii="Times New Roman"/>
                <w:sz w:val="24"/>
              </w:rPr>
            </w:pPr>
          </w:p>
          <w:p w:rsidR="00EB698C" w:rsidRDefault="00B75C2A">
            <w:pPr>
              <w:pStyle w:val="TableParagraph"/>
              <w:ind w:right="80"/>
              <w:jc w:val="both"/>
              <w:rPr>
                <w:sz w:val="24"/>
              </w:rPr>
            </w:pPr>
            <w:r>
              <w:rPr>
                <w:sz w:val="24"/>
              </w:rPr>
              <w:t xml:space="preserve">Participate in total force adaptive planning and execution in support of </w:t>
            </w:r>
            <w:r>
              <w:rPr>
                <w:sz w:val="24"/>
              </w:rPr>
              <w:t>combatant commanders from peacetime through mobilization, contingency operations and demobilization. Access manpower, personnel, and equipment availability for UTC posturing and management.</w:t>
            </w:r>
          </w:p>
          <w:p w:rsidR="00EB698C" w:rsidRDefault="00EB698C">
            <w:pPr>
              <w:pStyle w:val="TableParagraph"/>
              <w:ind w:left="0"/>
              <w:rPr>
                <w:rFonts w:ascii="Times New Roman"/>
                <w:sz w:val="24"/>
              </w:rPr>
            </w:pPr>
          </w:p>
          <w:p w:rsidR="00EB698C" w:rsidRDefault="00B75C2A">
            <w:pPr>
              <w:pStyle w:val="TableParagraph"/>
              <w:ind w:right="79"/>
              <w:jc w:val="both"/>
              <w:rPr>
                <w:sz w:val="24"/>
              </w:rPr>
            </w:pPr>
            <w:r>
              <w:rPr>
                <w:sz w:val="24"/>
              </w:rPr>
              <w:t>Leads and supervises contingency training and operations with an emphasis on specific capabilities and processes focused on expeditionary organizations and command relationships, feeding operations, lodgment of forces, mortuary affairs, casualty reporting,</w:t>
            </w:r>
            <w:r>
              <w:rPr>
                <w:sz w:val="24"/>
              </w:rPr>
              <w:t xml:space="preserve"> force accountability, fitness, recreation, learning resource centers, protocol, and NAF resale operations for both peace and wartime operations.</w:t>
            </w:r>
          </w:p>
          <w:p w:rsidR="00EB698C" w:rsidRDefault="00EB698C">
            <w:pPr>
              <w:pStyle w:val="TableParagraph"/>
              <w:ind w:left="0"/>
              <w:rPr>
                <w:rFonts w:ascii="Times New Roman"/>
                <w:sz w:val="24"/>
              </w:rPr>
            </w:pPr>
          </w:p>
          <w:p w:rsidR="00EB698C" w:rsidRDefault="00B75C2A">
            <w:pPr>
              <w:pStyle w:val="TableParagraph"/>
              <w:ind w:right="85"/>
              <w:jc w:val="both"/>
              <w:rPr>
                <w:sz w:val="24"/>
              </w:rPr>
            </w:pPr>
            <w:r>
              <w:rPr>
                <w:sz w:val="24"/>
              </w:rPr>
              <w:t>Develop and administer fitness programs designed to keep the Total Force fit and regenerate Airman and</w:t>
            </w:r>
            <w:r>
              <w:rPr>
                <w:spacing w:val="-6"/>
                <w:sz w:val="24"/>
              </w:rPr>
              <w:t xml:space="preserve"> </w:t>
            </w:r>
            <w:r>
              <w:rPr>
                <w:sz w:val="24"/>
              </w:rPr>
              <w:t>famili</w:t>
            </w:r>
            <w:r>
              <w:rPr>
                <w:sz w:val="24"/>
              </w:rPr>
              <w:t>es.</w:t>
            </w:r>
          </w:p>
        </w:tc>
      </w:tr>
      <w:tr w:rsidR="00EB698C">
        <w:trPr>
          <w:trHeight w:hRule="exact" w:val="1699"/>
        </w:trPr>
        <w:tc>
          <w:tcPr>
            <w:tcW w:w="11342" w:type="dxa"/>
          </w:tcPr>
          <w:p w:rsidR="00EB698C" w:rsidRDefault="00B75C2A">
            <w:pPr>
              <w:pStyle w:val="TableParagraph"/>
              <w:spacing w:line="272" w:lineRule="exact"/>
              <w:rPr>
                <w:b/>
                <w:sz w:val="24"/>
              </w:rPr>
            </w:pPr>
            <w:r>
              <w:rPr>
                <w:b/>
                <w:sz w:val="24"/>
              </w:rPr>
              <w:t>KNOWLEDGE:</w:t>
            </w:r>
          </w:p>
          <w:p w:rsidR="00EB698C" w:rsidRDefault="00B75C2A">
            <w:pPr>
              <w:pStyle w:val="TableParagraph"/>
              <w:ind w:right="174"/>
              <w:rPr>
                <w:sz w:val="24"/>
              </w:rPr>
            </w:pPr>
            <w:r>
              <w:rPr>
                <w:sz w:val="24"/>
              </w:rPr>
              <w:t>Knowledge of the following core competencies is mandatory: Force Development, Career Development, Force Management, Civilian Employee Management, Requirements Determination, Organization Principles, Performance Management, Manpower Resource Allocation, Cus</w:t>
            </w:r>
            <w:r>
              <w:rPr>
                <w:sz w:val="24"/>
              </w:rPr>
              <w:t>tomer Support, Readiness, Food Operations, Fitness Operations, Lodging Operations, Recreation, Protocol, Resource Management, Mortuary Affairs, Casualty, SAPR, EO, Resiliency and Quality of Service Programs.</w:t>
            </w:r>
          </w:p>
        </w:tc>
      </w:tr>
      <w:tr w:rsidR="00EB698C">
        <w:trPr>
          <w:trHeight w:hRule="exact" w:val="1150"/>
        </w:trPr>
        <w:tc>
          <w:tcPr>
            <w:tcW w:w="11342" w:type="dxa"/>
          </w:tcPr>
          <w:p w:rsidR="00EB698C" w:rsidRDefault="00B75C2A">
            <w:pPr>
              <w:pStyle w:val="TableParagraph"/>
              <w:spacing w:line="274" w:lineRule="exact"/>
              <w:rPr>
                <w:b/>
                <w:sz w:val="24"/>
              </w:rPr>
            </w:pPr>
            <w:r>
              <w:rPr>
                <w:b/>
                <w:sz w:val="24"/>
              </w:rPr>
              <w:t>EXPERIENCE:</w:t>
            </w:r>
          </w:p>
          <w:p w:rsidR="00EB698C" w:rsidRDefault="006F7F04">
            <w:pPr>
              <w:pStyle w:val="TableParagraph"/>
              <w:ind w:right="241"/>
              <w:rPr>
                <w:sz w:val="24"/>
              </w:rPr>
            </w:pPr>
            <w:r>
              <w:rPr>
                <w:sz w:val="24"/>
              </w:rPr>
              <w:t>For upgrade to AFSCs 38F</w:t>
            </w:r>
            <w:bookmarkStart w:id="2" w:name="_GoBack"/>
            <w:bookmarkEnd w:id="2"/>
            <w:r w:rsidR="00B75C2A">
              <w:rPr>
                <w:sz w:val="24"/>
              </w:rPr>
              <w:t>3, Unit Com</w:t>
            </w:r>
            <w:r w:rsidR="00B75C2A">
              <w:rPr>
                <w:sz w:val="24"/>
              </w:rPr>
              <w:t>mander determines proficiency based on performance, experience, and completion of minimum training req</w:t>
            </w:r>
            <w:r w:rsidR="00AA7F46">
              <w:rPr>
                <w:sz w:val="24"/>
              </w:rPr>
              <w:t>uirements. For award of AFSC 38F</w:t>
            </w:r>
            <w:r w:rsidR="00B75C2A">
              <w:rPr>
                <w:sz w:val="24"/>
              </w:rPr>
              <w:t>3, a minimum of 24 months of experience is mandatory.</w:t>
            </w:r>
          </w:p>
        </w:tc>
      </w:tr>
      <w:tr w:rsidR="00EB698C">
        <w:trPr>
          <w:trHeight w:hRule="exact" w:val="874"/>
        </w:trPr>
        <w:tc>
          <w:tcPr>
            <w:tcW w:w="11342" w:type="dxa"/>
          </w:tcPr>
          <w:p w:rsidR="00EB698C" w:rsidRDefault="00B75C2A">
            <w:pPr>
              <w:pStyle w:val="TableParagraph"/>
              <w:spacing w:line="274" w:lineRule="exact"/>
              <w:rPr>
                <w:b/>
                <w:sz w:val="24"/>
              </w:rPr>
            </w:pPr>
            <w:r>
              <w:rPr>
                <w:b/>
                <w:sz w:val="24"/>
              </w:rPr>
              <w:t>OSIB:</w:t>
            </w:r>
          </w:p>
          <w:p w:rsidR="00EB698C" w:rsidRDefault="00B75C2A">
            <w:pPr>
              <w:pStyle w:val="TableParagraph"/>
              <w:rPr>
                <w:sz w:val="24"/>
              </w:rPr>
            </w:pPr>
            <w:r>
              <w:rPr>
                <w:sz w:val="24"/>
              </w:rPr>
              <w:t>An Officer Screening and Interviewing Board (OSIB) will convene to interview all qualified applicants. Applicants will be informed in writing or telephonically of the date and time to appear.</w:t>
            </w:r>
          </w:p>
        </w:tc>
      </w:tr>
      <w:tr w:rsidR="00EB698C">
        <w:trPr>
          <w:trHeight w:hRule="exact" w:val="3494"/>
        </w:trPr>
        <w:tc>
          <w:tcPr>
            <w:tcW w:w="11342" w:type="dxa"/>
          </w:tcPr>
          <w:p w:rsidR="00EB698C" w:rsidRDefault="00B75C2A">
            <w:pPr>
              <w:pStyle w:val="TableParagraph"/>
              <w:spacing w:line="272" w:lineRule="exact"/>
              <w:jc w:val="both"/>
              <w:rPr>
                <w:b/>
                <w:sz w:val="24"/>
              </w:rPr>
            </w:pPr>
            <w:r>
              <w:rPr>
                <w:b/>
                <w:sz w:val="24"/>
              </w:rPr>
              <w:t>APPLICATION PROCEDURES:</w:t>
            </w:r>
          </w:p>
          <w:p w:rsidR="00EB698C" w:rsidRDefault="00B75C2A">
            <w:pPr>
              <w:pStyle w:val="TableParagraph"/>
              <w:ind w:right="79"/>
              <w:jc w:val="both"/>
              <w:rPr>
                <w:sz w:val="24"/>
              </w:rPr>
            </w:pPr>
            <w:r>
              <w:rPr>
                <w:sz w:val="24"/>
              </w:rPr>
              <w:t>Applicants will prepare and forward one</w:t>
            </w:r>
            <w:r>
              <w:rPr>
                <w:sz w:val="24"/>
              </w:rPr>
              <w:t xml:space="preserve"> copy of the AF Form 24, Application of Appointment as Reserve of the Air Force or USAF Without Component, Copy of AFOQT Scores, Resume, Current Official College Transcripts, Record of Separation/Discharge from the US Armed Forces (if applicable), and a Re</w:t>
            </w:r>
            <w:r>
              <w:rPr>
                <w:sz w:val="24"/>
              </w:rPr>
              <w:t>cords Review RIP (if applicable).</w:t>
            </w:r>
            <w:r w:rsidR="006210A3">
              <w:rPr>
                <w:sz w:val="24"/>
              </w:rPr>
              <w:t xml:space="preserve"> Application may include up to 3 letters of recommendation.</w:t>
            </w:r>
          </w:p>
          <w:p w:rsidR="00EB698C" w:rsidRDefault="00EB698C">
            <w:pPr>
              <w:pStyle w:val="TableParagraph"/>
              <w:ind w:left="0"/>
              <w:rPr>
                <w:rFonts w:ascii="Times New Roman"/>
                <w:sz w:val="24"/>
              </w:rPr>
            </w:pPr>
          </w:p>
          <w:p w:rsidR="00EB698C" w:rsidRDefault="00B75C2A">
            <w:pPr>
              <w:pStyle w:val="TableParagraph"/>
              <w:ind w:right="1748"/>
              <w:rPr>
                <w:sz w:val="24"/>
              </w:rPr>
            </w:pPr>
            <w:r>
              <w:rPr>
                <w:sz w:val="24"/>
              </w:rPr>
              <w:t xml:space="preserve">Questions may be directed to MSgt Matthew Repp at 631-723-7458 or send an e-mail to: </w:t>
            </w:r>
            <w:hyperlink r:id="rId5">
              <w:r>
                <w:rPr>
                  <w:sz w:val="24"/>
                  <w:u w:val="single" w:color="0000FF"/>
                </w:rPr>
                <w:t>matthew.a.repp2.mil@m</w:t>
              </w:r>
            </w:hyperlink>
            <w:r>
              <w:rPr>
                <w:sz w:val="24"/>
              </w:rPr>
              <w:t>ail.mil.</w:t>
            </w:r>
          </w:p>
          <w:p w:rsidR="00EB698C" w:rsidRDefault="00EB698C">
            <w:pPr>
              <w:pStyle w:val="TableParagraph"/>
              <w:ind w:left="0"/>
              <w:rPr>
                <w:rFonts w:ascii="Times New Roman"/>
                <w:sz w:val="24"/>
              </w:rPr>
            </w:pPr>
          </w:p>
          <w:p w:rsidR="00EB698C" w:rsidRDefault="00B75C2A" w:rsidP="006210A3">
            <w:pPr>
              <w:pStyle w:val="TableParagraph"/>
              <w:spacing w:before="1"/>
              <w:ind w:left="179" w:right="177"/>
              <w:jc w:val="center"/>
              <w:rPr>
                <w:b/>
                <w:sz w:val="28"/>
              </w:rPr>
            </w:pPr>
            <w:r>
              <w:rPr>
                <w:b/>
                <w:color w:val="FF0000"/>
                <w:sz w:val="28"/>
                <w:u w:val="thick" w:color="FF0000"/>
              </w:rPr>
              <w:t xml:space="preserve">Applications will be accepted by </w:t>
            </w:r>
            <w:r w:rsidR="006210A3">
              <w:rPr>
                <w:b/>
                <w:color w:val="FF0000"/>
                <w:sz w:val="28"/>
                <w:u w:val="thick" w:color="FF0000"/>
              </w:rPr>
              <w:t>e</w:t>
            </w:r>
            <w:r>
              <w:rPr>
                <w:b/>
                <w:color w:val="FF0000"/>
                <w:sz w:val="28"/>
                <w:u w:val="thick" w:color="FF0000"/>
              </w:rPr>
              <w:t xml:space="preserve">mail only and must be </w:t>
            </w:r>
            <w:r w:rsidR="006210A3">
              <w:rPr>
                <w:b/>
                <w:color w:val="FF0000"/>
                <w:sz w:val="28"/>
                <w:u w:val="thick" w:color="FF0000"/>
              </w:rPr>
              <w:t xml:space="preserve">received </w:t>
            </w:r>
            <w:r>
              <w:rPr>
                <w:b/>
                <w:color w:val="FF0000"/>
                <w:sz w:val="28"/>
                <w:u w:val="thick" w:color="FF0000"/>
              </w:rPr>
              <w:t>before the close</w:t>
            </w:r>
            <w:r w:rsidR="006210A3">
              <w:rPr>
                <w:b/>
                <w:color w:val="FF0000"/>
                <w:sz w:val="28"/>
                <w:u w:val="thick" w:color="FF0000"/>
              </w:rPr>
              <w:t xml:space="preserve"> out date of this announcement. Please email your package as one PDF file.</w:t>
            </w:r>
          </w:p>
        </w:tc>
      </w:tr>
      <w:tr w:rsidR="00EB698C">
        <w:trPr>
          <w:trHeight w:hRule="exact" w:val="1426"/>
        </w:trPr>
        <w:tc>
          <w:tcPr>
            <w:tcW w:w="11342" w:type="dxa"/>
          </w:tcPr>
          <w:p w:rsidR="00EB698C" w:rsidRDefault="006210A3">
            <w:pPr>
              <w:pStyle w:val="TableParagraph"/>
              <w:spacing w:line="257" w:lineRule="exact"/>
              <w:ind w:left="178" w:right="177"/>
              <w:jc w:val="center"/>
              <w:rPr>
                <w:b/>
                <w:sz w:val="24"/>
              </w:rPr>
            </w:pPr>
            <w:r>
              <w:rPr>
                <w:b/>
                <w:sz w:val="24"/>
              </w:rPr>
              <w:t>E</w:t>
            </w:r>
            <w:r w:rsidR="00B75C2A">
              <w:rPr>
                <w:b/>
                <w:sz w:val="24"/>
              </w:rPr>
              <w:t>MAIL APPLICATION TO:</w:t>
            </w:r>
          </w:p>
          <w:p w:rsidR="00EB698C" w:rsidRDefault="006210A3">
            <w:pPr>
              <w:pStyle w:val="TableParagraph"/>
              <w:ind w:left="179" w:right="175"/>
              <w:jc w:val="center"/>
              <w:rPr>
                <w:sz w:val="24"/>
              </w:rPr>
            </w:pPr>
            <w:r>
              <w:rPr>
                <w:sz w:val="24"/>
              </w:rPr>
              <w:t>MATTHEW.A.REPP2.MIL@MAIL.MIL</w:t>
            </w:r>
          </w:p>
        </w:tc>
      </w:tr>
      <w:tr w:rsidR="00EB698C">
        <w:trPr>
          <w:trHeight w:hRule="exact" w:val="1423"/>
        </w:trPr>
        <w:tc>
          <w:tcPr>
            <w:tcW w:w="11342" w:type="dxa"/>
          </w:tcPr>
          <w:p w:rsidR="00EB698C" w:rsidRDefault="00B75C2A">
            <w:pPr>
              <w:pStyle w:val="TableParagraph"/>
              <w:spacing w:line="272" w:lineRule="exact"/>
              <w:rPr>
                <w:b/>
                <w:sz w:val="24"/>
              </w:rPr>
            </w:pPr>
            <w:r>
              <w:rPr>
                <w:b/>
                <w:sz w:val="24"/>
              </w:rPr>
              <w:t>DISTRIBUTION:</w:t>
            </w:r>
          </w:p>
          <w:p w:rsidR="00EB698C" w:rsidRDefault="00B75C2A">
            <w:pPr>
              <w:pStyle w:val="TableParagraph"/>
              <w:ind w:left="355"/>
              <w:rPr>
                <w:sz w:val="24"/>
              </w:rPr>
            </w:pPr>
            <w:r>
              <w:rPr>
                <w:sz w:val="24"/>
              </w:rPr>
              <w:t>1 – JF-HQ NYANG/DMNA</w:t>
            </w:r>
          </w:p>
          <w:p w:rsidR="00EB698C" w:rsidRDefault="00B75C2A">
            <w:pPr>
              <w:pStyle w:val="TableParagraph"/>
              <w:ind w:left="355"/>
              <w:rPr>
                <w:sz w:val="24"/>
              </w:rPr>
            </w:pPr>
            <w:r>
              <w:rPr>
                <w:sz w:val="24"/>
              </w:rPr>
              <w:t xml:space="preserve">1 – </w:t>
            </w:r>
            <w:hyperlink r:id="rId6">
              <w:r>
                <w:rPr>
                  <w:sz w:val="24"/>
                </w:rPr>
                <w:t>WWW.GOANG.COM</w:t>
              </w:r>
            </w:hyperlink>
          </w:p>
          <w:p w:rsidR="00EB698C" w:rsidRDefault="00B75C2A">
            <w:pPr>
              <w:pStyle w:val="TableParagraph"/>
              <w:ind w:left="355" w:right="7896"/>
              <w:rPr>
                <w:sz w:val="24"/>
              </w:rPr>
            </w:pPr>
            <w:r>
              <w:rPr>
                <w:sz w:val="24"/>
              </w:rPr>
              <w:t xml:space="preserve">1 – Each </w:t>
            </w:r>
            <w:proofErr w:type="spellStart"/>
            <w:r>
              <w:rPr>
                <w:sz w:val="24"/>
              </w:rPr>
              <w:t>Sq</w:t>
            </w:r>
            <w:proofErr w:type="spellEnd"/>
            <w:r>
              <w:rPr>
                <w:sz w:val="24"/>
              </w:rPr>
              <w:t>/Flt Commander 1 – 106 FSS/FSOX</w:t>
            </w:r>
          </w:p>
        </w:tc>
      </w:tr>
    </w:tbl>
    <w:p w:rsidR="00B75C2A" w:rsidRDefault="00B75C2A"/>
    <w:sectPr w:rsidR="00B75C2A">
      <w:pgSz w:w="12240" w:h="15840"/>
      <w:pgMar w:top="54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6192B"/>
    <w:multiLevelType w:val="hybridMultilevel"/>
    <w:tmpl w:val="8CCC0CB4"/>
    <w:lvl w:ilvl="0" w:tplc="B7EC8F68">
      <w:numFmt w:val="bullet"/>
      <w:lvlText w:val=""/>
      <w:lvlJc w:val="left"/>
      <w:pPr>
        <w:ind w:left="446" w:hanging="360"/>
      </w:pPr>
      <w:rPr>
        <w:rFonts w:ascii="Wingdings" w:eastAsia="Wingdings" w:hAnsi="Wingdings" w:cs="Wingdings" w:hint="default"/>
        <w:w w:val="99"/>
        <w:sz w:val="24"/>
        <w:szCs w:val="24"/>
      </w:rPr>
    </w:lvl>
    <w:lvl w:ilvl="1" w:tplc="00E0E7F4">
      <w:numFmt w:val="bullet"/>
      <w:lvlText w:val="•"/>
      <w:lvlJc w:val="left"/>
      <w:pPr>
        <w:ind w:left="1525" w:hanging="360"/>
      </w:pPr>
      <w:rPr>
        <w:rFonts w:hint="default"/>
      </w:rPr>
    </w:lvl>
    <w:lvl w:ilvl="2" w:tplc="005C2FFE">
      <w:numFmt w:val="bullet"/>
      <w:lvlText w:val="•"/>
      <w:lvlJc w:val="left"/>
      <w:pPr>
        <w:ind w:left="2611" w:hanging="360"/>
      </w:pPr>
      <w:rPr>
        <w:rFonts w:hint="default"/>
      </w:rPr>
    </w:lvl>
    <w:lvl w:ilvl="3" w:tplc="6CAEED26">
      <w:numFmt w:val="bullet"/>
      <w:lvlText w:val="•"/>
      <w:lvlJc w:val="left"/>
      <w:pPr>
        <w:ind w:left="3697" w:hanging="360"/>
      </w:pPr>
      <w:rPr>
        <w:rFonts w:hint="default"/>
      </w:rPr>
    </w:lvl>
    <w:lvl w:ilvl="4" w:tplc="629EA344">
      <w:numFmt w:val="bullet"/>
      <w:lvlText w:val="•"/>
      <w:lvlJc w:val="left"/>
      <w:pPr>
        <w:ind w:left="4783" w:hanging="360"/>
      </w:pPr>
      <w:rPr>
        <w:rFonts w:hint="default"/>
      </w:rPr>
    </w:lvl>
    <w:lvl w:ilvl="5" w:tplc="FCF006E2">
      <w:numFmt w:val="bullet"/>
      <w:lvlText w:val="•"/>
      <w:lvlJc w:val="left"/>
      <w:pPr>
        <w:ind w:left="5869" w:hanging="360"/>
      </w:pPr>
      <w:rPr>
        <w:rFonts w:hint="default"/>
      </w:rPr>
    </w:lvl>
    <w:lvl w:ilvl="6" w:tplc="45D68E3A">
      <w:numFmt w:val="bullet"/>
      <w:lvlText w:val="•"/>
      <w:lvlJc w:val="left"/>
      <w:pPr>
        <w:ind w:left="6955" w:hanging="360"/>
      </w:pPr>
      <w:rPr>
        <w:rFonts w:hint="default"/>
      </w:rPr>
    </w:lvl>
    <w:lvl w:ilvl="7" w:tplc="CF928FD0">
      <w:numFmt w:val="bullet"/>
      <w:lvlText w:val="•"/>
      <w:lvlJc w:val="left"/>
      <w:pPr>
        <w:ind w:left="8041" w:hanging="360"/>
      </w:pPr>
      <w:rPr>
        <w:rFonts w:hint="default"/>
      </w:rPr>
    </w:lvl>
    <w:lvl w:ilvl="8" w:tplc="9F4CB39A">
      <w:numFmt w:val="bullet"/>
      <w:lvlText w:val="•"/>
      <w:lvlJc w:val="left"/>
      <w:pPr>
        <w:ind w:left="91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8C"/>
    <w:rsid w:val="001E36A6"/>
    <w:rsid w:val="006210A3"/>
    <w:rsid w:val="006F7F04"/>
    <w:rsid w:val="007C16FB"/>
    <w:rsid w:val="00AA7F46"/>
    <w:rsid w:val="00B017FF"/>
    <w:rsid w:val="00B75C2A"/>
    <w:rsid w:val="00E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AE21"/>
  <w15:docId w15:val="{92744C09-F0D1-4339-8016-F7CD4C9E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ANG.COM/" TargetMode="External"/><Relationship Id="rId5" Type="http://schemas.openxmlformats.org/officeDocument/2006/relationships/hyperlink" Target="mailto:dustin.lance@ang.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USAF</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4</cp:revision>
  <dcterms:created xsi:type="dcterms:W3CDTF">2020-02-12T15:40:00Z</dcterms:created>
  <dcterms:modified xsi:type="dcterms:W3CDTF">2020-02-12T15:52:00Z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Acrobat PDFMaker 11 for Word</vt:lpwstr>
  </property>
  <property fmtid="{D5CDD505-2E9C-101B-9397-08002B2CF9AE}" pid="4" name="LastSaved">
    <vt:filetime>2020-02-12T00:00:00Z</vt:filetime>
  </property>
</Properties>
</file>