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7B0E1A" w:rsidRPr="00214014" w:rsidTr="007B0E1A">
        <w:trPr>
          <w:trHeight w:hRule="exact" w:val="437"/>
        </w:trPr>
        <w:tc>
          <w:tcPr>
            <w:tcW w:w="11703" w:type="dxa"/>
            <w:gridSpan w:val="2"/>
          </w:tcPr>
          <w:p w:rsidR="007B0E1A" w:rsidRPr="006521C5" w:rsidRDefault="007B0E1A" w:rsidP="007B0E1A">
            <w:pPr>
              <w:pStyle w:val="TableParagraph"/>
              <w:jc w:val="center"/>
              <w:rPr>
                <w:rFonts w:ascii="Times New Roman" w:hAnsi="Times New Roman" w:cs="Times New Roman"/>
                <w:b/>
                <w:sz w:val="32"/>
              </w:rPr>
            </w:pPr>
            <w:r w:rsidRPr="006521C5">
              <w:rPr>
                <w:rFonts w:ascii="Times New Roman" w:hAnsi="Times New Roman" w:cs="Times New Roman"/>
                <w:b/>
                <w:sz w:val="32"/>
              </w:rPr>
              <w:t>TRADITIONAL OFFICER VACANCY ANNOUNCEMENT</w:t>
            </w:r>
          </w:p>
        </w:tc>
      </w:tr>
      <w:tr w:rsidR="00A02AF1" w:rsidRPr="00214014">
        <w:trPr>
          <w:trHeight w:hRule="exact" w:val="619"/>
        </w:trPr>
        <w:tc>
          <w:tcPr>
            <w:tcW w:w="5855" w:type="dxa"/>
            <w:vMerge w:val="restart"/>
          </w:tcPr>
          <w:p w:rsidR="00214014" w:rsidRDefault="00214014" w:rsidP="00214014">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rsidR="00A02AF1" w:rsidRDefault="006B1BAE" w:rsidP="00DB3E8E">
            <w:pPr>
              <w:pStyle w:val="TableParagraph"/>
              <w:ind w:left="86" w:right="289"/>
              <w:rPr>
                <w:rFonts w:ascii="Times New Roman" w:hAnsi="Times New Roman" w:cs="Times New Roman"/>
                <w:b/>
                <w:sz w:val="28"/>
              </w:rPr>
            </w:pPr>
            <w:r>
              <w:rPr>
                <w:rFonts w:ascii="Times New Roman" w:hAnsi="Times New Roman" w:cs="Times New Roman"/>
                <w:b/>
                <w:sz w:val="28"/>
              </w:rPr>
              <w:t xml:space="preserve">Hancock Field </w:t>
            </w:r>
          </w:p>
          <w:p w:rsidR="006B1BAE" w:rsidRDefault="006B1BAE" w:rsidP="006B1BAE">
            <w:pPr>
              <w:pStyle w:val="TableParagraph"/>
              <w:ind w:left="86" w:right="289"/>
              <w:rPr>
                <w:rFonts w:ascii="Times New Roman" w:hAnsi="Times New Roman" w:cs="Times New Roman"/>
                <w:b/>
                <w:sz w:val="28"/>
              </w:rPr>
            </w:pPr>
            <w:r>
              <w:rPr>
                <w:rFonts w:ascii="Times New Roman" w:hAnsi="Times New Roman" w:cs="Times New Roman"/>
                <w:b/>
                <w:sz w:val="28"/>
              </w:rPr>
              <w:t xml:space="preserve">6001 East Molloy Road </w:t>
            </w:r>
          </w:p>
          <w:p w:rsidR="006B1BAE" w:rsidRPr="00214014" w:rsidRDefault="006B1BAE" w:rsidP="006B1BAE">
            <w:pPr>
              <w:pStyle w:val="TableParagraph"/>
              <w:ind w:left="86" w:right="289"/>
              <w:rPr>
                <w:rFonts w:ascii="Times New Roman" w:hAnsi="Times New Roman" w:cs="Times New Roman"/>
                <w:b/>
                <w:sz w:val="28"/>
              </w:rPr>
            </w:pPr>
            <w:r>
              <w:rPr>
                <w:rFonts w:ascii="Times New Roman" w:hAnsi="Times New Roman" w:cs="Times New Roman"/>
                <w:b/>
                <w:sz w:val="28"/>
              </w:rPr>
              <w:t>Syracuse, NY, 13211</w:t>
            </w:r>
          </w:p>
        </w:tc>
        <w:tc>
          <w:tcPr>
            <w:tcW w:w="5848" w:type="dxa"/>
          </w:tcPr>
          <w:p w:rsidR="00A02AF1" w:rsidRPr="00214014" w:rsidRDefault="00A8161F" w:rsidP="00C06A60">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AB0CFF">
              <w:rPr>
                <w:rFonts w:ascii="Times New Roman" w:hAnsi="Times New Roman" w:cs="Times New Roman"/>
                <w:b/>
                <w:sz w:val="28"/>
              </w:rPr>
              <w:t xml:space="preserve"> </w:t>
            </w:r>
            <w:r w:rsidR="00FF479D">
              <w:rPr>
                <w:rFonts w:ascii="Times New Roman" w:hAnsi="Times New Roman" w:cs="Times New Roman"/>
                <w:sz w:val="28"/>
              </w:rPr>
              <w:t>FY 22-07</w:t>
            </w:r>
          </w:p>
        </w:tc>
      </w:tr>
      <w:tr w:rsidR="00A02AF1" w:rsidRPr="00214014">
        <w:trPr>
          <w:trHeight w:hRule="exact" w:val="622"/>
        </w:trPr>
        <w:tc>
          <w:tcPr>
            <w:tcW w:w="5855" w:type="dxa"/>
            <w:vMerge/>
          </w:tcPr>
          <w:p w:rsidR="00A02AF1" w:rsidRPr="00214014" w:rsidRDefault="00A02AF1" w:rsidP="00156881">
            <w:pPr>
              <w:rPr>
                <w:rFonts w:ascii="Times New Roman" w:hAnsi="Times New Roman" w:cs="Times New Roman"/>
              </w:rPr>
            </w:pPr>
          </w:p>
        </w:tc>
        <w:tc>
          <w:tcPr>
            <w:tcW w:w="5848" w:type="dxa"/>
          </w:tcPr>
          <w:p w:rsidR="00A02AF1" w:rsidRPr="00214014" w:rsidRDefault="00A650DB" w:rsidP="00FF479D">
            <w:pPr>
              <w:pStyle w:val="TableParagraph"/>
              <w:ind w:left="86"/>
              <w:rPr>
                <w:rFonts w:ascii="Times New Roman" w:hAnsi="Times New Roman" w:cs="Times New Roman"/>
                <w:sz w:val="28"/>
              </w:rPr>
            </w:pPr>
            <w:r>
              <w:rPr>
                <w:rFonts w:ascii="Times New Roman" w:hAnsi="Times New Roman" w:cs="Times New Roman"/>
                <w:b/>
                <w:sz w:val="28"/>
              </w:rPr>
              <w:t xml:space="preserve">POSTING </w:t>
            </w:r>
            <w:r w:rsidR="00A8161F" w:rsidRPr="00214014">
              <w:rPr>
                <w:rFonts w:ascii="Times New Roman" w:hAnsi="Times New Roman" w:cs="Times New Roman"/>
                <w:b/>
                <w:sz w:val="28"/>
              </w:rPr>
              <w:t>DATE:</w:t>
            </w:r>
            <w:r w:rsidR="006C0CAB">
              <w:rPr>
                <w:rFonts w:ascii="Times New Roman" w:hAnsi="Times New Roman" w:cs="Times New Roman"/>
                <w:b/>
                <w:sz w:val="28"/>
              </w:rPr>
              <w:t xml:space="preserve"> </w:t>
            </w:r>
            <w:r w:rsidR="00FF479D">
              <w:rPr>
                <w:rFonts w:ascii="Times New Roman" w:hAnsi="Times New Roman" w:cs="Times New Roman"/>
                <w:sz w:val="28"/>
              </w:rPr>
              <w:t>08 Nov 2021</w:t>
            </w:r>
          </w:p>
        </w:tc>
      </w:tr>
      <w:tr w:rsidR="00A02AF1" w:rsidRPr="00214014">
        <w:trPr>
          <w:trHeight w:hRule="exact" w:val="622"/>
        </w:trPr>
        <w:tc>
          <w:tcPr>
            <w:tcW w:w="5855" w:type="dxa"/>
            <w:vMerge/>
          </w:tcPr>
          <w:p w:rsidR="00A02AF1" w:rsidRPr="00214014" w:rsidRDefault="00A02AF1" w:rsidP="00156881">
            <w:pPr>
              <w:rPr>
                <w:rFonts w:ascii="Times New Roman" w:hAnsi="Times New Roman" w:cs="Times New Roman"/>
              </w:rPr>
            </w:pPr>
          </w:p>
        </w:tc>
        <w:tc>
          <w:tcPr>
            <w:tcW w:w="5848" w:type="dxa"/>
            <w:tcBorders>
              <w:right w:val="single" w:sz="12" w:space="0" w:color="000000"/>
            </w:tcBorders>
          </w:tcPr>
          <w:p w:rsidR="00A02AF1" w:rsidRPr="00214014" w:rsidRDefault="00A8161F" w:rsidP="00C06A60">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6C0CAB">
              <w:rPr>
                <w:rFonts w:ascii="Times New Roman" w:hAnsi="Times New Roman" w:cs="Times New Roman"/>
                <w:b/>
                <w:sz w:val="28"/>
              </w:rPr>
              <w:t xml:space="preserve"> </w:t>
            </w:r>
            <w:r w:rsidR="00FF479D">
              <w:rPr>
                <w:rFonts w:ascii="Times New Roman" w:hAnsi="Times New Roman" w:cs="Times New Roman"/>
                <w:sz w:val="28"/>
              </w:rPr>
              <w:t>08</w:t>
            </w:r>
            <w:r w:rsidR="007B0E1A">
              <w:rPr>
                <w:rFonts w:ascii="Times New Roman" w:hAnsi="Times New Roman" w:cs="Times New Roman"/>
                <w:sz w:val="28"/>
              </w:rPr>
              <w:t xml:space="preserve"> </w:t>
            </w:r>
            <w:r w:rsidR="00FF479D">
              <w:rPr>
                <w:rFonts w:ascii="Times New Roman" w:hAnsi="Times New Roman" w:cs="Times New Roman"/>
                <w:sz w:val="28"/>
              </w:rPr>
              <w:t>Dec 2021</w:t>
            </w:r>
          </w:p>
        </w:tc>
      </w:tr>
      <w:tr w:rsidR="00A02AF1" w:rsidRPr="00214014">
        <w:trPr>
          <w:trHeight w:hRule="exact" w:val="622"/>
        </w:trPr>
        <w:tc>
          <w:tcPr>
            <w:tcW w:w="5855" w:type="dxa"/>
          </w:tcPr>
          <w:p w:rsidR="00A02AF1" w:rsidRPr="00214014" w:rsidRDefault="00A8161F" w:rsidP="00C06A60">
            <w:pPr>
              <w:pStyle w:val="TableParagraph"/>
              <w:ind w:left="86"/>
              <w:rPr>
                <w:rFonts w:ascii="Times New Roman" w:hAnsi="Times New Roman" w:cs="Times New Roman"/>
                <w:sz w:val="28"/>
              </w:rPr>
            </w:pPr>
            <w:r w:rsidRPr="00214014">
              <w:rPr>
                <w:rFonts w:ascii="Times New Roman" w:hAnsi="Times New Roman" w:cs="Times New Roman"/>
                <w:b/>
                <w:sz w:val="28"/>
              </w:rPr>
              <w:t>UNIT:</w:t>
            </w:r>
            <w:r w:rsidR="00AB0CFF">
              <w:rPr>
                <w:rFonts w:ascii="Times New Roman" w:hAnsi="Times New Roman" w:cs="Times New Roman"/>
                <w:b/>
                <w:sz w:val="28"/>
              </w:rPr>
              <w:t xml:space="preserve"> </w:t>
            </w:r>
            <w:r w:rsidR="000A3F84" w:rsidRPr="00EB6F00">
              <w:rPr>
                <w:rFonts w:ascii="Times New Roman" w:hAnsi="Times New Roman" w:cs="Times New Roman"/>
                <w:sz w:val="28"/>
              </w:rPr>
              <w:t>174 ATKW/LRS</w:t>
            </w:r>
            <w:r w:rsidR="000A3F84">
              <w:rPr>
                <w:rFonts w:ascii="Times New Roman" w:hAnsi="Times New Roman" w:cs="Times New Roman"/>
                <w:b/>
                <w:sz w:val="28"/>
              </w:rPr>
              <w:t xml:space="preserve"> </w:t>
            </w:r>
          </w:p>
        </w:tc>
        <w:tc>
          <w:tcPr>
            <w:tcW w:w="5848" w:type="dxa"/>
            <w:tcBorders>
              <w:right w:val="single" w:sz="12" w:space="0" w:color="000000"/>
            </w:tcBorders>
          </w:tcPr>
          <w:p w:rsidR="00A02AF1" w:rsidRPr="00214014" w:rsidRDefault="00A8161F" w:rsidP="00C06A60">
            <w:pPr>
              <w:pStyle w:val="TableParagraph"/>
              <w:tabs>
                <w:tab w:val="left" w:pos="1650"/>
              </w:tabs>
              <w:ind w:left="86"/>
              <w:rPr>
                <w:rFonts w:ascii="Times New Roman" w:hAnsi="Times New Roman" w:cs="Times New Roman"/>
                <w:sz w:val="28"/>
              </w:rPr>
            </w:pPr>
            <w:r w:rsidRPr="00214014">
              <w:rPr>
                <w:rFonts w:ascii="Times New Roman" w:hAnsi="Times New Roman" w:cs="Times New Roman"/>
                <w:b/>
                <w:sz w:val="28"/>
              </w:rPr>
              <w:t>AFSC:</w:t>
            </w:r>
            <w:r w:rsidR="00AB0CFF" w:rsidRPr="00EB6F00">
              <w:rPr>
                <w:rFonts w:ascii="Times New Roman" w:hAnsi="Times New Roman" w:cs="Times New Roman"/>
                <w:sz w:val="28"/>
              </w:rPr>
              <w:t xml:space="preserve"> </w:t>
            </w:r>
            <w:r w:rsidR="00EB6F00" w:rsidRPr="00EB6F00">
              <w:rPr>
                <w:rFonts w:ascii="Times New Roman" w:hAnsi="Times New Roman" w:cs="Times New Roman"/>
                <w:sz w:val="28"/>
              </w:rPr>
              <w:t>21R</w:t>
            </w:r>
          </w:p>
        </w:tc>
      </w:tr>
      <w:tr w:rsidR="00A02AF1" w:rsidRPr="00214014">
        <w:trPr>
          <w:trHeight w:hRule="exact" w:val="1339"/>
        </w:trPr>
        <w:tc>
          <w:tcPr>
            <w:tcW w:w="5855" w:type="dxa"/>
          </w:tcPr>
          <w:p w:rsidR="006C0CAB" w:rsidRDefault="00A8161F" w:rsidP="00C063A6">
            <w:pPr>
              <w:pStyle w:val="TableParagraph"/>
              <w:ind w:left="86"/>
              <w:rPr>
                <w:rFonts w:ascii="Times New Roman" w:hAnsi="Times New Roman" w:cs="Times New Roman"/>
                <w:b/>
                <w:sz w:val="28"/>
              </w:rPr>
            </w:pPr>
            <w:r w:rsidRPr="00214014">
              <w:rPr>
                <w:rFonts w:ascii="Times New Roman" w:hAnsi="Times New Roman" w:cs="Times New Roman"/>
                <w:b/>
                <w:sz w:val="28"/>
              </w:rPr>
              <w:t>POSITION TITLE:</w:t>
            </w:r>
          </w:p>
          <w:p w:rsidR="00C063A6" w:rsidRPr="00EB6F00" w:rsidRDefault="00EB6F00" w:rsidP="00C06A60">
            <w:pPr>
              <w:pStyle w:val="TableParagraph"/>
              <w:ind w:left="86"/>
              <w:rPr>
                <w:rFonts w:ascii="Times New Roman" w:hAnsi="Times New Roman" w:cs="Times New Roman"/>
                <w:sz w:val="28"/>
              </w:rPr>
            </w:pPr>
            <w:r w:rsidRPr="00EB6F00">
              <w:rPr>
                <w:rFonts w:ascii="Times New Roman" w:hAnsi="Times New Roman" w:cs="Times New Roman"/>
                <w:sz w:val="28"/>
              </w:rPr>
              <w:t xml:space="preserve">Logistics Readiness Officer </w:t>
            </w:r>
          </w:p>
          <w:p w:rsidR="00EB6F00" w:rsidRPr="00C063A6" w:rsidRDefault="00EB6F00" w:rsidP="007B0E1A">
            <w:pPr>
              <w:pStyle w:val="TableParagraph"/>
              <w:ind w:left="86"/>
              <w:rPr>
                <w:rFonts w:ascii="Times New Roman" w:hAnsi="Times New Roman" w:cs="Times New Roman"/>
                <w:b/>
                <w:sz w:val="28"/>
              </w:rPr>
            </w:pPr>
            <w:r w:rsidRPr="00EB6F00">
              <w:rPr>
                <w:rFonts w:ascii="Times New Roman" w:hAnsi="Times New Roman" w:cs="Times New Roman"/>
                <w:sz w:val="28"/>
              </w:rPr>
              <w:t xml:space="preserve">2Lt-Maj </w:t>
            </w:r>
            <w:bookmarkStart w:id="0" w:name="_GoBack"/>
            <w:bookmarkEnd w:id="0"/>
          </w:p>
        </w:tc>
        <w:tc>
          <w:tcPr>
            <w:tcW w:w="5848" w:type="dxa"/>
          </w:tcPr>
          <w:p w:rsidR="002355C0" w:rsidRPr="00214014" w:rsidRDefault="00A8161F" w:rsidP="00156881">
            <w:pPr>
              <w:pStyle w:val="TableParagraph"/>
              <w:ind w:left="86"/>
              <w:rPr>
                <w:rFonts w:ascii="Times New Roman" w:hAnsi="Times New Roman" w:cs="Times New Roman"/>
                <w:sz w:val="24"/>
              </w:rPr>
            </w:pPr>
            <w:r w:rsidRPr="00214014">
              <w:rPr>
                <w:rFonts w:ascii="Times New Roman" w:hAnsi="Times New Roman" w:cs="Times New Roman"/>
                <w:b/>
                <w:sz w:val="28"/>
              </w:rPr>
              <w:t>AREA OF CONSIDERATION:</w:t>
            </w:r>
            <w:r w:rsidR="002355C0" w:rsidRPr="00214014">
              <w:rPr>
                <w:rFonts w:ascii="Times New Roman" w:hAnsi="Times New Roman" w:cs="Times New Roman"/>
                <w:b/>
                <w:sz w:val="24"/>
              </w:rPr>
              <w:t xml:space="preserve"> </w:t>
            </w:r>
            <w:r w:rsidR="00585A79">
              <w:rPr>
                <w:rFonts w:ascii="Times New Roman" w:hAnsi="Times New Roman" w:cs="Times New Roman"/>
                <w:sz w:val="24"/>
              </w:rPr>
              <w:t>Nation</w:t>
            </w:r>
            <w:r w:rsidR="00EB6F00" w:rsidRPr="00EB6F00">
              <w:rPr>
                <w:rFonts w:ascii="Times New Roman" w:hAnsi="Times New Roman" w:cs="Times New Roman"/>
                <w:sz w:val="24"/>
              </w:rPr>
              <w:t xml:space="preserve">wide </w:t>
            </w:r>
          </w:p>
          <w:p w:rsidR="00A02AF1" w:rsidRPr="00214014" w:rsidRDefault="00C063A6" w:rsidP="00C063A6">
            <w:pPr>
              <w:pStyle w:val="TableParagraph"/>
              <w:ind w:left="86"/>
              <w:rPr>
                <w:rFonts w:ascii="Times New Roman" w:hAnsi="Times New Roman" w:cs="Times New Roman"/>
                <w:sz w:val="24"/>
              </w:rPr>
            </w:pPr>
            <w:r w:rsidRPr="00C063A6">
              <w:rPr>
                <w:rFonts w:ascii="Times New Roman" w:hAnsi="Times New Roman" w:cs="Times New Roman"/>
                <w:sz w:val="24"/>
              </w:rPr>
              <w:t>All candidates may apply who meet the basic qualification for this position and who are eligible for membership in the NYANG</w:t>
            </w:r>
          </w:p>
        </w:tc>
      </w:tr>
      <w:tr w:rsidR="00A02AF1" w:rsidRPr="00214014" w:rsidTr="007B0E1A">
        <w:trPr>
          <w:trHeight w:hRule="exact" w:val="2165"/>
        </w:trPr>
        <w:tc>
          <w:tcPr>
            <w:tcW w:w="11703" w:type="dxa"/>
            <w:gridSpan w:val="2"/>
          </w:tcPr>
          <w:p w:rsidR="00A02AF1" w:rsidRPr="00214014" w:rsidRDefault="00A8161F" w:rsidP="002011E6">
            <w:pPr>
              <w:pStyle w:val="TableParagraph"/>
              <w:tabs>
                <w:tab w:val="left" w:pos="6606"/>
              </w:tabs>
              <w:ind w:left="36" w:right="198"/>
              <w:jc w:val="center"/>
              <w:rPr>
                <w:rFonts w:ascii="Times New Roman" w:hAnsi="Times New Roman" w:cs="Times New Roman"/>
                <w:b/>
                <w:sz w:val="28"/>
              </w:rPr>
            </w:pPr>
            <w:r w:rsidRPr="00214014">
              <w:rPr>
                <w:rFonts w:ascii="Times New Roman" w:hAnsi="Times New Roman" w:cs="Times New Roman"/>
                <w:b/>
                <w:sz w:val="28"/>
              </w:rPr>
              <w:t>SPECIALTY</w:t>
            </w:r>
            <w:r w:rsidRPr="00214014">
              <w:rPr>
                <w:rFonts w:ascii="Times New Roman" w:hAnsi="Times New Roman" w:cs="Times New Roman"/>
                <w:b/>
                <w:spacing w:val="-5"/>
                <w:sz w:val="28"/>
              </w:rPr>
              <w:t xml:space="preserve"> </w:t>
            </w:r>
            <w:r w:rsidRPr="00214014">
              <w:rPr>
                <w:rFonts w:ascii="Times New Roman" w:hAnsi="Times New Roman" w:cs="Times New Roman"/>
                <w:b/>
                <w:sz w:val="28"/>
              </w:rPr>
              <w:t>SUMMARY</w:t>
            </w:r>
          </w:p>
          <w:p w:rsidR="00892CFC" w:rsidRPr="008A5264" w:rsidRDefault="00A8161F" w:rsidP="008A5264">
            <w:pPr>
              <w:pStyle w:val="TableParagraph"/>
              <w:tabs>
                <w:tab w:val="left" w:pos="6606"/>
              </w:tabs>
              <w:ind w:left="36" w:right="108"/>
              <w:jc w:val="center"/>
              <w:rPr>
                <w:rFonts w:ascii="Times New Roman" w:hAnsi="Times New Roman" w:cs="Times New Roman"/>
                <w:sz w:val="24"/>
                <w:szCs w:val="24"/>
              </w:rPr>
            </w:pPr>
            <w:r w:rsidRPr="00AE30BB">
              <w:rPr>
                <w:rFonts w:ascii="Times New Roman" w:hAnsi="Times New Roman" w:cs="Times New Roman"/>
                <w:sz w:val="24"/>
                <w:szCs w:val="24"/>
              </w:rPr>
              <w:t>(As outlined in</w:t>
            </w:r>
            <w:r w:rsidRPr="00AE30BB">
              <w:rPr>
                <w:rFonts w:ascii="Times New Roman" w:hAnsi="Times New Roman" w:cs="Times New Roman"/>
                <w:spacing w:val="-12"/>
                <w:sz w:val="24"/>
                <w:szCs w:val="24"/>
              </w:rPr>
              <w:t xml:space="preserve"> </w:t>
            </w:r>
            <w:r w:rsidRPr="00AE30BB">
              <w:rPr>
                <w:rFonts w:ascii="Times New Roman" w:hAnsi="Times New Roman" w:cs="Times New Roman"/>
                <w:sz w:val="24"/>
                <w:szCs w:val="24"/>
              </w:rPr>
              <w:t>AFOCD)</w:t>
            </w:r>
          </w:p>
          <w:p w:rsidR="006C0CAB" w:rsidRPr="00214014" w:rsidRDefault="008A5264" w:rsidP="008A5264">
            <w:pPr>
              <w:widowControl/>
              <w:adjustRightInd w:val="0"/>
              <w:rPr>
                <w:sz w:val="20"/>
              </w:rPr>
            </w:pPr>
            <w:r w:rsidRPr="008A5264">
              <w:rPr>
                <w:rFonts w:ascii="Times New Roman" w:hAnsi="Times New Roman" w:cs="Times New Roman"/>
                <w:sz w:val="24"/>
                <w:szCs w:val="20"/>
              </w:rPr>
              <w:t>Integrates the spectrum of the logistics readiness processes within the operational, acquisition, and wholesale environments. The major logistics competencies and proficiencies including the competencies of Deployment, Distribution and Transportation, Supply Management, and proficiencies of Fuels Management, Transportation (Air or Ground), Vehicle Management, Life Cycle Logistics, and Logistics Plans.</w:t>
            </w:r>
          </w:p>
        </w:tc>
      </w:tr>
      <w:tr w:rsidR="00A02AF1" w:rsidRPr="00214014" w:rsidTr="007B0E1A">
        <w:trPr>
          <w:trHeight w:hRule="exact" w:val="2165"/>
        </w:trPr>
        <w:tc>
          <w:tcPr>
            <w:tcW w:w="11703" w:type="dxa"/>
            <w:gridSpan w:val="2"/>
          </w:tcPr>
          <w:p w:rsidR="00A02AF1" w:rsidRPr="00214014" w:rsidRDefault="00A8161F" w:rsidP="002011E6">
            <w:pPr>
              <w:pStyle w:val="TableParagraph"/>
              <w:ind w:left="36"/>
              <w:jc w:val="center"/>
              <w:rPr>
                <w:rFonts w:ascii="Times New Roman" w:hAnsi="Times New Roman" w:cs="Times New Roman"/>
                <w:b/>
                <w:sz w:val="28"/>
              </w:rPr>
            </w:pPr>
            <w:r w:rsidRPr="00214014">
              <w:rPr>
                <w:rFonts w:ascii="Times New Roman" w:hAnsi="Times New Roman" w:cs="Times New Roman"/>
                <w:b/>
                <w:sz w:val="28"/>
              </w:rPr>
              <w:t>QUALIFICATIONS AND SELECTION FACTORS</w:t>
            </w:r>
          </w:p>
          <w:p w:rsidR="002355C0" w:rsidRPr="00AE30BB" w:rsidRDefault="00A650DB" w:rsidP="00A650DB">
            <w:pPr>
              <w:pStyle w:val="NormalWeb"/>
              <w:kinsoku w:val="0"/>
              <w:overflowPunct w:val="0"/>
              <w:spacing w:before="0" w:beforeAutospacing="0" w:after="0" w:afterAutospacing="0"/>
              <w:ind w:right="150"/>
              <w:jc w:val="both"/>
              <w:textAlignment w:val="baseline"/>
            </w:pPr>
            <w:r w:rsidRPr="00AE30BB">
              <w:rPr>
                <w:rFonts w:eastAsia="+mn-ea"/>
                <w:color w:val="000000"/>
                <w:kern w:val="24"/>
              </w:rPr>
              <w:t>Selection for this position will be made without regard to race, religion, color, creed, gender or national origin. Applications are subject to review by the FSS and as mandatory requirements are met, as outlined in applicable regulations, applicants must meet an Officer Screening and Interviewing Board (OSIB). The requirements and qualifications prescribed in this announcement are minimum for nomination for appointment consideration.  Appointment is not assured merely by meeting these requirements.  Persons considered must further qualify with requirements outlined in AFI 36-2005.</w:t>
            </w:r>
          </w:p>
        </w:tc>
      </w:tr>
      <w:tr w:rsidR="00A02AF1" w:rsidRPr="00214014" w:rsidTr="007B0E1A">
        <w:trPr>
          <w:trHeight w:hRule="exact" w:val="6296"/>
        </w:trPr>
        <w:tc>
          <w:tcPr>
            <w:tcW w:w="11703" w:type="dxa"/>
            <w:gridSpan w:val="2"/>
          </w:tcPr>
          <w:p w:rsidR="00436CA6" w:rsidRDefault="00A8161F" w:rsidP="00436CA6">
            <w:pPr>
              <w:pStyle w:val="TableParagraph"/>
              <w:rPr>
                <w:rFonts w:ascii="Times New Roman" w:hAnsi="Times New Roman" w:cs="Times New Roman"/>
                <w:b/>
                <w:sz w:val="28"/>
              </w:rPr>
            </w:pPr>
            <w:r w:rsidRPr="00214014">
              <w:rPr>
                <w:rFonts w:ascii="Times New Roman" w:hAnsi="Times New Roman" w:cs="Times New Roman"/>
                <w:b/>
                <w:sz w:val="28"/>
              </w:rPr>
              <w:t>KNOWLEDGE:</w:t>
            </w:r>
          </w:p>
          <w:p w:rsidR="008A5264" w:rsidRPr="008A5264" w:rsidRDefault="008A5264" w:rsidP="00436CA6">
            <w:pPr>
              <w:pStyle w:val="TableParagraph"/>
              <w:rPr>
                <w:rFonts w:ascii="Times New Roman" w:hAnsi="Times New Roman" w:cs="Times New Roman"/>
                <w:b/>
                <w:sz w:val="36"/>
              </w:rPr>
            </w:pPr>
            <w:r w:rsidRPr="008A5264">
              <w:rPr>
                <w:rFonts w:ascii="Times New Roman" w:hAnsi="Times New Roman" w:cs="Times New Roman"/>
                <w:sz w:val="24"/>
                <w:szCs w:val="20"/>
              </w:rPr>
              <w:t>Knowledge is mandatory of the following core competencies: Deployment, Distribution and Transportation, Supply Management. A Logistics Readiness Officer must have a well-developed knowledge of the core competencies and a well-grounded understanding of the five proficiencies.</w:t>
            </w:r>
          </w:p>
          <w:p w:rsidR="008A5264" w:rsidRDefault="008A5264" w:rsidP="008A5264">
            <w:pPr>
              <w:pStyle w:val="TableParagraph"/>
              <w:rPr>
                <w:rFonts w:ascii="Times New Roman" w:hAnsi="Times New Roman" w:cs="Times New Roman"/>
                <w:b/>
                <w:sz w:val="28"/>
              </w:rPr>
            </w:pPr>
          </w:p>
          <w:p w:rsidR="008A5264" w:rsidRPr="00892CFC" w:rsidRDefault="008A5264" w:rsidP="008A5264">
            <w:pPr>
              <w:pStyle w:val="TableParagraph"/>
              <w:rPr>
                <w:rFonts w:ascii="Times New Roman" w:hAnsi="Times New Roman" w:cs="Times New Roman"/>
                <w:b/>
                <w:sz w:val="28"/>
              </w:rPr>
            </w:pPr>
            <w:r w:rsidRPr="00214014">
              <w:rPr>
                <w:rFonts w:ascii="Times New Roman" w:hAnsi="Times New Roman" w:cs="Times New Roman"/>
                <w:b/>
                <w:sz w:val="28"/>
              </w:rPr>
              <w:t>EDUCATION:</w:t>
            </w:r>
          </w:p>
          <w:p w:rsidR="008A5264" w:rsidRPr="008A5264" w:rsidRDefault="008A5264" w:rsidP="008A5264">
            <w:pPr>
              <w:widowControl/>
              <w:adjustRightInd w:val="0"/>
              <w:rPr>
                <w:rFonts w:ascii="Times New Roman" w:eastAsiaTheme="minorHAnsi" w:hAnsi="Times New Roman" w:cs="Times New Roman"/>
                <w:color w:val="000000"/>
                <w:sz w:val="24"/>
                <w:szCs w:val="20"/>
              </w:rPr>
            </w:pPr>
            <w:r w:rsidRPr="008A5264">
              <w:rPr>
                <w:rFonts w:ascii="Times New Roman" w:hAnsi="Times New Roman" w:cs="Times New Roman"/>
                <w:sz w:val="24"/>
                <w:szCs w:val="20"/>
              </w:rPr>
              <w:t xml:space="preserve">For entry education requirements see </w:t>
            </w:r>
            <w:r w:rsidRPr="008A5264">
              <w:rPr>
                <w:rFonts w:ascii="Times New Roman" w:hAnsi="Times New Roman" w:cs="Times New Roman"/>
                <w:color w:val="0000FF"/>
                <w:sz w:val="24"/>
                <w:szCs w:val="20"/>
              </w:rPr>
              <w:t xml:space="preserve">Appendix A, 21R CIP </w:t>
            </w:r>
            <w:proofErr w:type="spellStart"/>
            <w:r w:rsidRPr="008A5264">
              <w:rPr>
                <w:rFonts w:ascii="Times New Roman" w:hAnsi="Times New Roman" w:cs="Times New Roman"/>
                <w:color w:val="0000FF"/>
                <w:sz w:val="24"/>
                <w:szCs w:val="20"/>
              </w:rPr>
              <w:t>EducationMatrix</w:t>
            </w:r>
            <w:proofErr w:type="spellEnd"/>
            <w:r w:rsidRPr="008A5264">
              <w:rPr>
                <w:rFonts w:ascii="Times New Roman" w:hAnsi="Times New Roman" w:cs="Times New Roman"/>
                <w:sz w:val="24"/>
                <w:szCs w:val="20"/>
              </w:rPr>
              <w:t>.</w:t>
            </w:r>
          </w:p>
          <w:p w:rsidR="008A5264" w:rsidRDefault="008A5264" w:rsidP="00892CFC">
            <w:pPr>
              <w:pStyle w:val="TableParagraph"/>
              <w:rPr>
                <w:rFonts w:ascii="Times New Roman" w:hAnsi="Times New Roman" w:cs="Times New Roman"/>
                <w:b/>
                <w:sz w:val="28"/>
              </w:rPr>
            </w:pPr>
          </w:p>
          <w:p w:rsidR="008A5264" w:rsidRPr="00892CFC" w:rsidRDefault="008A5264" w:rsidP="00892CFC">
            <w:pPr>
              <w:pStyle w:val="TableParagraph"/>
              <w:rPr>
                <w:rFonts w:ascii="Times New Roman" w:hAnsi="Times New Roman" w:cs="Times New Roman"/>
                <w:b/>
                <w:sz w:val="28"/>
              </w:rPr>
            </w:pPr>
            <w:r>
              <w:rPr>
                <w:rFonts w:ascii="Times New Roman" w:hAnsi="Times New Roman" w:cs="Times New Roman"/>
                <w:b/>
                <w:sz w:val="28"/>
              </w:rPr>
              <w:t>EXPERIENCE</w:t>
            </w:r>
          </w:p>
          <w:p w:rsidR="00892CFC" w:rsidRPr="008A5264" w:rsidRDefault="008A5264" w:rsidP="00F513A6">
            <w:pPr>
              <w:pStyle w:val="TableParagraph"/>
              <w:rPr>
                <w:rFonts w:ascii="Times New Roman" w:hAnsi="Times New Roman" w:cs="Times New Roman"/>
                <w:sz w:val="32"/>
                <w:szCs w:val="24"/>
              </w:rPr>
            </w:pPr>
            <w:r w:rsidRPr="008A5264">
              <w:rPr>
                <w:rFonts w:ascii="Times New Roman" w:hAnsi="Times New Roman" w:cs="Times New Roman"/>
                <w:sz w:val="24"/>
                <w:szCs w:val="20"/>
              </w:rPr>
              <w:t>For award of AFSC 21R3, an officer will complete the LRO Orientation Program described in Part II, Section D prior to attending the LRO Basic Course, 48 months experience in at least three (No less than 12 months in each) of the five proficiencies (Supply, Transportation (Ground or Air), Vehicle Management, Logistics Plans, and Fuels); and completed requirements for both Competencies (Supply Management and Deployment, Distribution and Transportation). Prior enlisted experience will be considered for qualification. In order to qualify with prior-enlisted experience, individuals must have attained a 5-level in supply (2SXXX), fuels (2FXXX), logistics plans (2GXXX), or transportation (2TXXX). Furthermore, the officer’s prior enlisted rank must be commensurate to a Non-Commissioned Officer (NCO).</w:t>
            </w:r>
          </w:p>
          <w:p w:rsidR="00A02AF1" w:rsidRPr="00AE30BB" w:rsidRDefault="00A02AF1" w:rsidP="00156881">
            <w:pPr>
              <w:pStyle w:val="TableParagraph"/>
              <w:rPr>
                <w:rFonts w:ascii="Times New Roman" w:hAnsi="Times New Roman" w:cs="Times New Roman"/>
                <w:sz w:val="24"/>
                <w:szCs w:val="24"/>
              </w:rPr>
            </w:pPr>
          </w:p>
          <w:p w:rsidR="00436CA6" w:rsidRDefault="00436CA6" w:rsidP="008A5264">
            <w:pPr>
              <w:pStyle w:val="TableParagraph"/>
              <w:ind w:right="4535"/>
              <w:rPr>
                <w:rFonts w:ascii="Times New Roman" w:hAnsi="Times New Roman" w:cs="Times New Roman"/>
                <w:sz w:val="20"/>
              </w:rPr>
            </w:pPr>
          </w:p>
          <w:p w:rsidR="00436CA6" w:rsidRDefault="00436CA6" w:rsidP="008A5264">
            <w:pPr>
              <w:pStyle w:val="TableParagraph"/>
              <w:ind w:right="4535"/>
              <w:rPr>
                <w:rFonts w:ascii="Times New Roman" w:hAnsi="Times New Roman" w:cs="Times New Roman"/>
                <w:sz w:val="20"/>
              </w:rPr>
            </w:pPr>
          </w:p>
          <w:p w:rsidR="00436CA6" w:rsidRDefault="00436CA6" w:rsidP="00156881">
            <w:pPr>
              <w:pStyle w:val="TableParagraph"/>
              <w:ind w:left="4534" w:right="4535"/>
              <w:jc w:val="center"/>
              <w:rPr>
                <w:rFonts w:ascii="Times New Roman" w:hAnsi="Times New Roman" w:cs="Times New Roman"/>
                <w:sz w:val="20"/>
              </w:rPr>
            </w:pPr>
          </w:p>
          <w:p w:rsidR="00436CA6" w:rsidRDefault="00436CA6" w:rsidP="00156881">
            <w:pPr>
              <w:pStyle w:val="TableParagraph"/>
              <w:ind w:left="4534" w:right="4535"/>
              <w:jc w:val="center"/>
              <w:rPr>
                <w:rFonts w:ascii="Times New Roman" w:hAnsi="Times New Roman" w:cs="Times New Roman"/>
                <w:sz w:val="20"/>
              </w:rPr>
            </w:pPr>
          </w:p>
          <w:p w:rsidR="00A02AF1" w:rsidRPr="00214014" w:rsidRDefault="00A8161F" w:rsidP="00156881">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bl>
    <w:p w:rsidR="00A02AF1" w:rsidRPr="00214014" w:rsidRDefault="00A02AF1" w:rsidP="00CA3438">
      <w:pPr>
        <w:rPr>
          <w:rFonts w:ascii="Times New Roman" w:hAnsi="Times New Roman" w:cs="Times New Roman"/>
          <w:sz w:val="20"/>
        </w:rPr>
        <w:sectPr w:rsidR="00A02AF1" w:rsidRPr="00214014">
          <w:footerReference w:type="default" r:id="rId7"/>
          <w:type w:val="continuous"/>
          <w:pgSz w:w="12240" w:h="15840"/>
          <w:pgMar w:top="280" w:right="100" w:bottom="400" w:left="160" w:header="720" w:footer="200" w:gutter="0"/>
          <w:cols w:space="720"/>
        </w:sectPr>
      </w:pPr>
    </w:p>
    <w:tbl>
      <w:tblPr>
        <w:tblW w:w="0" w:type="auto"/>
        <w:tblInd w:w="159"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1698"/>
      </w:tblGrid>
      <w:tr w:rsidR="00A02AF1" w:rsidRPr="00214014" w:rsidTr="006C0B0E">
        <w:trPr>
          <w:trHeight w:hRule="exact" w:val="14801"/>
        </w:trPr>
        <w:tc>
          <w:tcPr>
            <w:tcW w:w="11698" w:type="dxa"/>
          </w:tcPr>
          <w:p w:rsidR="00A02AF1" w:rsidRDefault="00A8161F" w:rsidP="00AE30BB">
            <w:pPr>
              <w:pStyle w:val="TableParagraph"/>
              <w:spacing w:before="2"/>
              <w:ind w:left="170"/>
              <w:rPr>
                <w:rFonts w:ascii="Times New Roman" w:hAnsi="Times New Roman" w:cs="Times New Roman"/>
                <w:b/>
                <w:sz w:val="28"/>
              </w:rPr>
            </w:pPr>
            <w:r w:rsidRPr="00214014">
              <w:rPr>
                <w:rFonts w:ascii="Times New Roman" w:hAnsi="Times New Roman" w:cs="Times New Roman"/>
                <w:b/>
                <w:sz w:val="28"/>
              </w:rPr>
              <w:lastRenderedPageBreak/>
              <w:t>DUTIES AND RESPONSIBILITIES:</w:t>
            </w:r>
          </w:p>
          <w:p w:rsidR="006C0B0E" w:rsidRPr="00AE30BB" w:rsidRDefault="006C0B0E" w:rsidP="00AE30BB">
            <w:pPr>
              <w:pStyle w:val="TableParagraph"/>
              <w:spacing w:before="2"/>
              <w:ind w:left="170"/>
              <w:rPr>
                <w:rFonts w:ascii="Times New Roman" w:hAnsi="Times New Roman" w:cs="Times New Roman"/>
                <w:sz w:val="28"/>
              </w:rPr>
            </w:pPr>
          </w:p>
          <w:p w:rsidR="008A5264" w:rsidRDefault="008A5264" w:rsidP="008A5264">
            <w:pPr>
              <w:pStyle w:val="Default"/>
              <w:rPr>
                <w:sz w:val="20"/>
                <w:szCs w:val="20"/>
              </w:rPr>
            </w:pPr>
            <w:r>
              <w:rPr>
                <w:sz w:val="20"/>
                <w:szCs w:val="20"/>
              </w:rPr>
              <w:t xml:space="preserve">2.1. </w:t>
            </w:r>
            <w:r>
              <w:rPr>
                <w:b/>
                <w:bCs/>
                <w:sz w:val="20"/>
                <w:szCs w:val="20"/>
              </w:rPr>
              <w:t xml:space="preserve">Supply. </w:t>
            </w:r>
            <w:r>
              <w:rPr>
                <w:sz w:val="20"/>
                <w:szCs w:val="20"/>
              </w:rPr>
              <w:t xml:space="preserve">Directs materiel management operations to include direction and management of retail or wholesale supply activities. Included are environmental compliance and inventory management. Determines, computes, and analyzes current and projected materiel requirements; applies authorizations and allowances; establishes and maintains non-demand based stock levels; manages asset positioning; inspects, reviews, and evaluates work methods and procedures. Ensures accountability is maintained for supplies, equipment, Nuclear Weapons Related Materiel (NWRM), War Reserve Materiel (WRM) and Mechanized Materiel Handling Systems (MMHS). Determines effectiveness of functional data systems. Manages assigned information systems and applies approved standards and criteria to ensure proper implementation, operation, and results. Develops plans, programs, policies and procedures to manage 8 materiel management activities, including analysis, determination and computation of requirements, asset serviceability and shelf life management, plans for mission changes facility requirements, equipment allowances, and materiel accounting. Executes working capital fund and determines budget requirements. Provides guidance on handling of readiness materiel stocks, including location, type of storage, protection, security, and quality control. </w:t>
            </w:r>
          </w:p>
          <w:p w:rsidR="008A5264" w:rsidRDefault="008A5264" w:rsidP="008A5264">
            <w:pPr>
              <w:pStyle w:val="Default"/>
              <w:rPr>
                <w:sz w:val="20"/>
                <w:szCs w:val="20"/>
              </w:rPr>
            </w:pPr>
            <w:r>
              <w:rPr>
                <w:sz w:val="20"/>
                <w:szCs w:val="20"/>
              </w:rPr>
              <w:t xml:space="preserve">2.2.1. </w:t>
            </w:r>
            <w:r>
              <w:rPr>
                <w:b/>
                <w:bCs/>
                <w:sz w:val="20"/>
                <w:szCs w:val="20"/>
              </w:rPr>
              <w:t xml:space="preserve">Supply Chain. </w:t>
            </w:r>
            <w:r>
              <w:rPr>
                <w:sz w:val="20"/>
                <w:szCs w:val="20"/>
              </w:rPr>
              <w:t xml:space="preserve">The DoD supply chain is a global network that provides materiel, services, and equipment to the joint force. The fundamental goal of the supply chain is to understand the requirements, maximize force readiness and optimize the allocation of joint resources. The functional capabilities that contribute to the DoD supply chain include management of supplies and equipment, inventory management, repair chain, management of global supplier networks, and assessment of global requirements, resources, capabilities, asset disposal and risks. The DoD’s supply chain responsiveness and reliability affects the readiness and capabilities of US military forces and is critical to the overall success of joint operations. </w:t>
            </w:r>
          </w:p>
          <w:p w:rsidR="008A5264" w:rsidRDefault="008A5264" w:rsidP="008A5264">
            <w:pPr>
              <w:pStyle w:val="Default"/>
              <w:rPr>
                <w:sz w:val="22"/>
                <w:szCs w:val="22"/>
              </w:rPr>
            </w:pPr>
            <w:r>
              <w:rPr>
                <w:sz w:val="20"/>
                <w:szCs w:val="20"/>
              </w:rPr>
              <w:t xml:space="preserve">2.1.2. </w:t>
            </w:r>
            <w:r>
              <w:rPr>
                <w:b/>
                <w:bCs/>
                <w:sz w:val="20"/>
                <w:szCs w:val="20"/>
              </w:rPr>
              <w:t xml:space="preserve">Supply Chain Management. </w:t>
            </w:r>
            <w:r>
              <w:rPr>
                <w:sz w:val="20"/>
                <w:szCs w:val="20"/>
              </w:rPr>
              <w:t>Supply chain management involves identification and coordination of requirements, planning and synchronizing joint supply activities throughout DoD, and managing key global suppliers to support Combatant Commander requirements. Critical elements of supply chain management include understanding and prioritizing requirements; visibility of forces as they maneuver, identifying mission-essential weapon systems and equipment; visibility of materiel moving through the distribution pipeline; ability to accurately forecast demands for sustainment; and prioritization of supply tasks in the area of responsibility (AOR). Operational planners can work with logistics planners to optimize supply chain operations and identify requirements to providers. Planners identify mission priorities, assess risks, and plan for the protection of the supply chain in the operational theater. Additional responsibilities include planning for secure storage and disposition of hazardous materials, planning to retrograde material and equipment, and establishing Joint Logistics Enterprise visibility of materiel requirements</w:t>
            </w:r>
            <w:r>
              <w:rPr>
                <w:sz w:val="22"/>
                <w:szCs w:val="22"/>
              </w:rPr>
              <w:t xml:space="preserve">. </w:t>
            </w:r>
          </w:p>
          <w:p w:rsidR="0030085B" w:rsidRDefault="008A5264" w:rsidP="008A5264">
            <w:pPr>
              <w:pStyle w:val="Default"/>
              <w:rPr>
                <w:sz w:val="20"/>
                <w:szCs w:val="20"/>
              </w:rPr>
            </w:pPr>
            <w:r>
              <w:rPr>
                <w:sz w:val="20"/>
                <w:szCs w:val="20"/>
              </w:rPr>
              <w:t xml:space="preserve">2.1.3. </w:t>
            </w:r>
            <w:r>
              <w:rPr>
                <w:b/>
                <w:bCs/>
                <w:sz w:val="20"/>
                <w:szCs w:val="20"/>
              </w:rPr>
              <w:t xml:space="preserve">Supply Chain Areas. </w:t>
            </w:r>
            <w:r>
              <w:rPr>
                <w:sz w:val="20"/>
                <w:szCs w:val="20"/>
              </w:rPr>
              <w:t>Joint logisticians must integrate all three areas of the DoD supply chain: managing supplies and equipment, managing inventory, and managing global supplier networks to provide responsive supply operations.</w:t>
            </w:r>
          </w:p>
          <w:p w:rsidR="006C0B0E" w:rsidRDefault="006C0B0E" w:rsidP="006C0B0E">
            <w:pPr>
              <w:pStyle w:val="Default"/>
              <w:rPr>
                <w:sz w:val="20"/>
                <w:szCs w:val="20"/>
              </w:rPr>
            </w:pPr>
            <w:r>
              <w:rPr>
                <w:sz w:val="20"/>
                <w:szCs w:val="20"/>
              </w:rPr>
              <w:t xml:space="preserve">2.1.3. </w:t>
            </w:r>
            <w:r>
              <w:rPr>
                <w:b/>
                <w:bCs/>
                <w:sz w:val="20"/>
                <w:szCs w:val="20"/>
              </w:rPr>
              <w:t xml:space="preserve">Supply Chain Areas. </w:t>
            </w:r>
            <w:r>
              <w:rPr>
                <w:sz w:val="20"/>
                <w:szCs w:val="20"/>
              </w:rPr>
              <w:t xml:space="preserve">Joint logisticians must integrate all three areas of the DoD supply chain: managing supplies and equipment, managing inventory, and managing global supplier networks to provide responsive supply operations </w:t>
            </w:r>
          </w:p>
          <w:p w:rsidR="006C0B0E" w:rsidRDefault="006C0B0E" w:rsidP="006C0B0E">
            <w:pPr>
              <w:pStyle w:val="Default"/>
              <w:rPr>
                <w:sz w:val="20"/>
                <w:szCs w:val="20"/>
              </w:rPr>
            </w:pPr>
            <w:r>
              <w:rPr>
                <w:sz w:val="20"/>
                <w:szCs w:val="20"/>
              </w:rPr>
              <w:t xml:space="preserve">2.2. </w:t>
            </w:r>
            <w:r>
              <w:rPr>
                <w:b/>
                <w:bCs/>
                <w:sz w:val="20"/>
                <w:szCs w:val="20"/>
              </w:rPr>
              <w:t xml:space="preserve">Vehicle Management. </w:t>
            </w:r>
            <w:r>
              <w:rPr>
                <w:sz w:val="20"/>
                <w:szCs w:val="20"/>
              </w:rPr>
              <w:t>Directs vehicle management operations to include coordination of vehicle and equipment requirements, allocations, priorities, and warranty repairs. Evaluates quality of operator care and maintenance. Determines operational requirements and specifications including reliability, maintainability, and standardization for facilities, vehicles and materiel handling equipment. Develops policies and procedures for the administration of vehicle accidents and abuse programs. Collects and analyzes data on vehicle operations and maintenance. Manages compliance with Air Force energy objectives for leased and Air Force owned ground vehicles.</w:t>
            </w:r>
          </w:p>
          <w:p w:rsidR="006C0B0E" w:rsidRDefault="006C0B0E" w:rsidP="006C0B0E">
            <w:pPr>
              <w:pStyle w:val="Default"/>
              <w:rPr>
                <w:sz w:val="20"/>
                <w:szCs w:val="20"/>
              </w:rPr>
            </w:pPr>
            <w:r>
              <w:rPr>
                <w:sz w:val="20"/>
                <w:szCs w:val="20"/>
              </w:rPr>
              <w:t xml:space="preserve">2.3. </w:t>
            </w:r>
            <w:r>
              <w:rPr>
                <w:b/>
                <w:bCs/>
                <w:sz w:val="20"/>
                <w:szCs w:val="20"/>
              </w:rPr>
              <w:t xml:space="preserve">Fuels. </w:t>
            </w:r>
            <w:r>
              <w:rPr>
                <w:sz w:val="20"/>
                <w:szCs w:val="20"/>
              </w:rPr>
              <w:t xml:space="preserve">Directs fuels operations including environmental compliance and inventory management of ground fuel, aviation fuel and cryogenics. Determines petroleum provisions, computes and analyzes current and projected petroleum and cryogenic requirements; computes, establishes and maintains stock levels to meet peacetime and wartime requirements; manages fuel received from pipeline, tank trucks, rail cars, and marine vessels. Manages fuel dispensing systems, fuel storage facilities, cryogenic storage and production, and sample and test fuel samples. Develops and plans procedures to manage fuel activities including system design, plans for mission changes, facility requirements, equipment allowance, required reporting and accounting. Interprets fuels directives. Inspect, reviews and evaluates work methods and procedures. Resolves problems related to commander, staff and operating units on peacetime, wartime and contingency fuels support. Coordinates with elements of DoD and other governmental organizations to assure support to customers. </w:t>
            </w:r>
          </w:p>
          <w:p w:rsidR="006C0B0E" w:rsidRDefault="006C0B0E" w:rsidP="006C0B0E">
            <w:pPr>
              <w:pStyle w:val="Default"/>
              <w:rPr>
                <w:sz w:val="20"/>
                <w:szCs w:val="20"/>
              </w:rPr>
            </w:pPr>
            <w:r>
              <w:rPr>
                <w:sz w:val="20"/>
                <w:szCs w:val="20"/>
              </w:rPr>
              <w:t xml:space="preserve">2.4. </w:t>
            </w:r>
            <w:r>
              <w:rPr>
                <w:b/>
                <w:bCs/>
                <w:sz w:val="20"/>
                <w:szCs w:val="20"/>
              </w:rPr>
              <w:t xml:space="preserve">Life Cycle Logistics. </w:t>
            </w:r>
            <w:r>
              <w:rPr>
                <w:sz w:val="20"/>
                <w:szCs w:val="20"/>
              </w:rPr>
              <w:t xml:space="preserve">Directs acquisition/life cycle logistics activities. Plans for and manages systems, subsystems, and equipment throughout their life cycle, including integrated logistics support activities and modernization/obsolescence planning. Develops, initiates, integrates, and manages all logistics actions associated with life cycle management of weapon systems, subsystems, and equipment. Serves as logistics focal point throughout the system’s life cycle. Formulates logistics requirements for weapon systems. </w:t>
            </w:r>
          </w:p>
          <w:p w:rsidR="006C0B0E" w:rsidRPr="006C0B0E" w:rsidRDefault="006C0B0E" w:rsidP="006C0B0E">
            <w:pPr>
              <w:pStyle w:val="Default"/>
              <w:rPr>
                <w:sz w:val="20"/>
                <w:szCs w:val="20"/>
              </w:rPr>
            </w:pPr>
            <w:r w:rsidRPr="006C0B0E">
              <w:rPr>
                <w:sz w:val="20"/>
                <w:szCs w:val="20"/>
              </w:rPr>
              <w:t xml:space="preserve">2.5. </w:t>
            </w:r>
            <w:r w:rsidRPr="006C0B0E">
              <w:rPr>
                <w:b/>
                <w:bCs/>
                <w:sz w:val="20"/>
                <w:szCs w:val="20"/>
              </w:rPr>
              <w:t xml:space="preserve">Transportation. </w:t>
            </w:r>
            <w:r w:rsidRPr="006C0B0E">
              <w:rPr>
                <w:sz w:val="20"/>
                <w:szCs w:val="20"/>
              </w:rPr>
              <w:t xml:space="preserve">Directs Transportation operations to include managing cargo distribution functions including receiving, inspecting, tracing, tracking, packaging, and shipping of supplies, NWRM, equipment, and war readiness spares. Responsible for logistics pipeline management and time-sensitive delivery of materiel in support of peacetime, contingency, and wartime operations. Maintains in-transit visibility for shipments of personal property, passengers, supplies and equipment. </w:t>
            </w:r>
          </w:p>
          <w:p w:rsidR="006C0B0E" w:rsidRPr="00214014" w:rsidRDefault="006C0B0E" w:rsidP="006C0B0E">
            <w:pPr>
              <w:pStyle w:val="Default"/>
              <w:rPr>
                <w:b/>
                <w:sz w:val="28"/>
              </w:rPr>
            </w:pPr>
          </w:p>
        </w:tc>
      </w:tr>
      <w:tr w:rsidR="001E03C5" w:rsidRPr="00214014" w:rsidTr="006C0B0E">
        <w:trPr>
          <w:trHeight w:hRule="exact" w:val="9851"/>
        </w:trPr>
        <w:tc>
          <w:tcPr>
            <w:tcW w:w="11698" w:type="dxa"/>
            <w:vAlign w:val="center"/>
          </w:tcPr>
          <w:p w:rsidR="006C0B0E" w:rsidRPr="006C0B0E" w:rsidRDefault="006C0B0E" w:rsidP="006C0B0E">
            <w:pPr>
              <w:pStyle w:val="Default"/>
              <w:rPr>
                <w:sz w:val="32"/>
                <w:szCs w:val="20"/>
              </w:rPr>
            </w:pPr>
            <w:r w:rsidRPr="006C0B0E">
              <w:rPr>
                <w:szCs w:val="20"/>
              </w:rPr>
              <w:lastRenderedPageBreak/>
              <w:t xml:space="preserve">2.5.1. </w:t>
            </w:r>
            <w:r w:rsidRPr="006C0B0E">
              <w:rPr>
                <w:b/>
                <w:bCs/>
                <w:szCs w:val="20"/>
              </w:rPr>
              <w:t xml:space="preserve">Ground Transportation. </w:t>
            </w:r>
            <w:r w:rsidRPr="006C0B0E">
              <w:rPr>
                <w:szCs w:val="20"/>
              </w:rPr>
              <w:t>Responsible for the safe and efficient transportation of personnel and cargo within and between installations in support of daily and contingency operations. Resolves problems related to shipment staging, safety, and fire hazards. Manages shipment storage space utilization and develops and maintains a shipment storage facility and mechanized material handling equipment modernization program to include maintenance, future upgrades, and working stock requirements. Determines readiness requirements, including emergency supply support plans, tactical and strategic movement of personnel, materiel, and units. Schedules and coordinates movement of cargo, personnel, and personal property by commercial or military modes using systems that interface with defense total asset visibility systems. Uses In-Transit Visibility (ITV) systems. Coordinates with elements of DoD and other governmental organizations to assure support to customers. Ensures proper allocation and effective use of transportation resources. Establishes and administers an effective packaging and preservation program. Evaluates movement forecasts and flow of personnel and cargo into the transportation system, movement capabilities, and efficiency of modes used.</w:t>
            </w:r>
          </w:p>
          <w:p w:rsidR="006C0B0E" w:rsidRPr="006C0B0E" w:rsidRDefault="006C0B0E" w:rsidP="006C0B0E">
            <w:pPr>
              <w:pStyle w:val="Default"/>
              <w:rPr>
                <w:szCs w:val="20"/>
              </w:rPr>
            </w:pPr>
            <w:r w:rsidRPr="006C0B0E">
              <w:rPr>
                <w:szCs w:val="20"/>
              </w:rPr>
              <w:t xml:space="preserve">2.5.2. </w:t>
            </w:r>
            <w:r w:rsidRPr="006C0B0E">
              <w:rPr>
                <w:b/>
                <w:bCs/>
                <w:szCs w:val="20"/>
              </w:rPr>
              <w:t xml:space="preserve">Air Transportation. </w:t>
            </w:r>
            <w:r w:rsidRPr="006C0B0E">
              <w:rPr>
                <w:szCs w:val="20"/>
              </w:rPr>
              <w:t xml:space="preserve">Directs aerial port operations including management of fixed and mobile air terminals through various sub-processes to include: Fleet Services, Aerial Delivery, Passenger Terminals, Freight, and Air Terminal Operations. Coordinates transportation support requirements and capabilities with other agencies using DoD and USAF logistics, transportation, and ITV systems. Evaluates movement forecasts and flow of personnel and cargo into the most efficient mode of the Defense Transportation System. </w:t>
            </w:r>
          </w:p>
          <w:p w:rsidR="006C0B0E" w:rsidRPr="006C0B0E" w:rsidRDefault="006C0B0E" w:rsidP="006C0B0E">
            <w:pPr>
              <w:pStyle w:val="TableParagraph"/>
              <w:rPr>
                <w:rFonts w:ascii="Times New Roman" w:hAnsi="Times New Roman" w:cs="Times New Roman"/>
                <w:b/>
                <w:bCs/>
                <w:sz w:val="36"/>
              </w:rPr>
            </w:pPr>
            <w:r w:rsidRPr="006C0B0E">
              <w:rPr>
                <w:rFonts w:ascii="Times New Roman" w:hAnsi="Times New Roman" w:cs="Times New Roman"/>
                <w:sz w:val="24"/>
                <w:szCs w:val="20"/>
              </w:rPr>
              <w:t xml:space="preserve">2.6. </w:t>
            </w:r>
            <w:r w:rsidRPr="006C0B0E">
              <w:rPr>
                <w:rFonts w:ascii="Times New Roman" w:hAnsi="Times New Roman" w:cs="Times New Roman"/>
                <w:b/>
                <w:bCs/>
                <w:sz w:val="24"/>
                <w:szCs w:val="20"/>
              </w:rPr>
              <w:t xml:space="preserve">Logistics Plans. </w:t>
            </w:r>
            <w:r w:rsidRPr="006C0B0E">
              <w:rPr>
                <w:rFonts w:ascii="Times New Roman" w:hAnsi="Times New Roman" w:cs="Times New Roman"/>
                <w:sz w:val="24"/>
                <w:szCs w:val="20"/>
              </w:rPr>
              <w:t>Directs peacetime, contingency, and wartime logistics planning operations including deployment command and control, Logistics Readiness Centers, Combat Support Center activities, deployment, bed-down, and redeployment activities. Integrates Combat Support planning efforts, conducts readiness assessment of logistics activities, conducts contingency planning, base support and expeditionary site planning, WRM management, support agreement management, Acquisition Cross-Servicing Agreements, manages logistics Time-phased Force Deployment Data and Unit Type Codes. Enables international theater security cooperation and interoperability, operating in coalition or Joint environments often working with contractors, host-nations.</w:t>
            </w:r>
          </w:p>
          <w:p w:rsidR="006C0B0E" w:rsidRDefault="006C0B0E" w:rsidP="00AE30BB">
            <w:pPr>
              <w:pStyle w:val="TableParagraph"/>
              <w:rPr>
                <w:rFonts w:ascii="Times New Roman" w:hAnsi="Times New Roman" w:cs="Times New Roman"/>
                <w:b/>
                <w:bCs/>
                <w:sz w:val="28"/>
              </w:rPr>
            </w:pPr>
          </w:p>
          <w:p w:rsidR="001E03C5" w:rsidRPr="0030085B" w:rsidRDefault="001E03C5" w:rsidP="00AE30BB">
            <w:pPr>
              <w:pStyle w:val="TableParagraph"/>
              <w:rPr>
                <w:rFonts w:ascii="Times New Roman" w:hAnsi="Times New Roman" w:cs="Times New Roman"/>
                <w:sz w:val="24"/>
                <w:szCs w:val="20"/>
              </w:rPr>
            </w:pPr>
            <w:r w:rsidRPr="00EA040A">
              <w:rPr>
                <w:rFonts w:ascii="Times New Roman" w:hAnsi="Times New Roman" w:cs="Times New Roman"/>
                <w:b/>
                <w:bCs/>
                <w:sz w:val="28"/>
              </w:rPr>
              <w:t xml:space="preserve">OTHER QUALIFICATIONS: </w:t>
            </w:r>
            <w:r w:rsidR="00A82CA1">
              <w:rPr>
                <w:rFonts w:ascii="Times New Roman" w:hAnsi="Times New Roman" w:cs="Times New Roman"/>
                <w:b/>
                <w:bCs/>
                <w:sz w:val="28"/>
              </w:rPr>
              <w:t xml:space="preserve"> </w:t>
            </w:r>
            <w:r w:rsidRPr="0030085B">
              <w:rPr>
                <w:rFonts w:ascii="Times New Roman" w:hAnsi="Times New Roman" w:cs="Times New Roman"/>
                <w:sz w:val="24"/>
                <w:szCs w:val="20"/>
              </w:rPr>
              <w:t xml:space="preserve">Applicant must be less than age 40 at the time of commissioning.  Must satisfactorily complete the AF Officer Qualifying Test (AFOQT) prior to selection board and (after selection) pass a Commissioning Physical.  Applicant is encouraged to contact SMSgt Bradley Addison @ (315) 233-2147 ASAP to schedule a test.  The results must be available </w:t>
            </w:r>
            <w:r w:rsidR="0030085B">
              <w:rPr>
                <w:rFonts w:ascii="Times New Roman" w:hAnsi="Times New Roman" w:cs="Times New Roman"/>
                <w:sz w:val="24"/>
                <w:szCs w:val="20"/>
              </w:rPr>
              <w:t xml:space="preserve">prior to scheduling the OSIB.  </w:t>
            </w:r>
            <w:r w:rsidRPr="0030085B">
              <w:rPr>
                <w:rFonts w:ascii="Times New Roman" w:hAnsi="Times New Roman" w:cs="Times New Roman"/>
                <w:sz w:val="24"/>
                <w:szCs w:val="20"/>
              </w:rPr>
              <w:t>Applicant may apply fo</w:t>
            </w:r>
            <w:r w:rsidR="0030085B">
              <w:rPr>
                <w:rFonts w:ascii="Times New Roman" w:hAnsi="Times New Roman" w:cs="Times New Roman"/>
                <w:sz w:val="24"/>
                <w:szCs w:val="20"/>
              </w:rPr>
              <w:t>r position prior to test taking</w:t>
            </w:r>
            <w:r w:rsidRPr="0030085B">
              <w:rPr>
                <w:rFonts w:ascii="Times New Roman" w:hAnsi="Times New Roman" w:cs="Times New Roman"/>
                <w:sz w:val="24"/>
                <w:szCs w:val="20"/>
              </w:rPr>
              <w:t>.  When selectee is approved for appoi</w:t>
            </w:r>
            <w:r w:rsidR="0030085B">
              <w:rPr>
                <w:rFonts w:ascii="Times New Roman" w:hAnsi="Times New Roman" w:cs="Times New Roman"/>
                <w:sz w:val="24"/>
                <w:szCs w:val="20"/>
              </w:rPr>
              <w:t>ntment by NGB, attendance of eight</w:t>
            </w:r>
            <w:r w:rsidRPr="0030085B">
              <w:rPr>
                <w:rFonts w:ascii="Times New Roman" w:hAnsi="Times New Roman" w:cs="Times New Roman"/>
                <w:sz w:val="24"/>
                <w:szCs w:val="20"/>
              </w:rPr>
              <w:t xml:space="preserve"> weeks at Total Fo</w:t>
            </w:r>
            <w:r w:rsidR="0030085B">
              <w:rPr>
                <w:rFonts w:ascii="Times New Roman" w:hAnsi="Times New Roman" w:cs="Times New Roman"/>
                <w:sz w:val="24"/>
                <w:szCs w:val="20"/>
              </w:rPr>
              <w:t>rce Officer Training (TFOT) is m</w:t>
            </w:r>
            <w:r w:rsidRPr="0030085B">
              <w:rPr>
                <w:rFonts w:ascii="Times New Roman" w:hAnsi="Times New Roman" w:cs="Times New Roman"/>
                <w:sz w:val="24"/>
                <w:szCs w:val="20"/>
              </w:rPr>
              <w:t>andatory.</w:t>
            </w:r>
          </w:p>
          <w:p w:rsidR="001E03C5" w:rsidRPr="001D5792" w:rsidRDefault="001E03C5" w:rsidP="001E03C5">
            <w:pPr>
              <w:pStyle w:val="TableParagraph"/>
              <w:spacing w:line="268" w:lineRule="exact"/>
              <w:ind w:firstLine="75"/>
              <w:rPr>
                <w:rFonts w:ascii="Times New Roman" w:hAnsi="Times New Roman" w:cs="Times New Roman"/>
                <w:sz w:val="28"/>
              </w:rPr>
            </w:pPr>
          </w:p>
          <w:p w:rsidR="001E03C5" w:rsidRPr="00A82CA1" w:rsidRDefault="001E03C5" w:rsidP="00A82CA1">
            <w:pPr>
              <w:pStyle w:val="TableParagraph"/>
              <w:spacing w:line="268" w:lineRule="exact"/>
              <w:rPr>
                <w:rFonts w:ascii="Times New Roman" w:hAnsi="Times New Roman" w:cs="Times New Roman"/>
                <w:sz w:val="24"/>
                <w:szCs w:val="20"/>
              </w:rPr>
            </w:pPr>
            <w:r w:rsidRPr="005674EB">
              <w:rPr>
                <w:rFonts w:ascii="Times New Roman" w:hAnsi="Times New Roman" w:cs="Times New Roman"/>
                <w:b/>
                <w:sz w:val="28"/>
              </w:rPr>
              <w:t>OSIB:</w:t>
            </w:r>
            <w:r w:rsidR="00A82CA1">
              <w:rPr>
                <w:rFonts w:ascii="Times New Roman" w:hAnsi="Times New Roman" w:cs="Times New Roman"/>
                <w:b/>
                <w:sz w:val="28"/>
              </w:rPr>
              <w:t xml:space="preserve"> </w:t>
            </w:r>
            <w:r w:rsidRPr="0030085B">
              <w:rPr>
                <w:rFonts w:ascii="Times New Roman" w:hAnsi="Times New Roman" w:cs="Times New Roman"/>
                <w:sz w:val="24"/>
                <w:szCs w:val="20"/>
              </w:rPr>
              <w:t>An officer Screening and Interviewing Board (OSIB) is projected to convene TBA to interview and/all qualified applicants.</w:t>
            </w:r>
          </w:p>
        </w:tc>
      </w:tr>
      <w:tr w:rsidR="00A02AF1" w:rsidRPr="00214014" w:rsidTr="00AE30BB">
        <w:trPr>
          <w:trHeight w:hRule="exact" w:val="3065"/>
        </w:trPr>
        <w:tc>
          <w:tcPr>
            <w:tcW w:w="11698" w:type="dxa"/>
          </w:tcPr>
          <w:p w:rsidR="0030085B" w:rsidRPr="00AE30BB" w:rsidRDefault="001E03C5" w:rsidP="00A82CA1">
            <w:pPr>
              <w:pStyle w:val="TableParagraph"/>
              <w:rPr>
                <w:rFonts w:ascii="Times New Roman" w:hAnsi="Times New Roman" w:cs="Times New Roman"/>
                <w:sz w:val="24"/>
                <w:szCs w:val="24"/>
              </w:rPr>
            </w:pPr>
            <w:r w:rsidRPr="005674EB">
              <w:rPr>
                <w:rFonts w:ascii="Times New Roman" w:hAnsi="Times New Roman" w:cs="Times New Roman"/>
                <w:b/>
                <w:sz w:val="28"/>
              </w:rPr>
              <w:t>APPLICATION PROCEDURES:</w:t>
            </w:r>
            <w:r w:rsidR="00A82CA1">
              <w:rPr>
                <w:rFonts w:ascii="Times New Roman" w:hAnsi="Times New Roman" w:cs="Times New Roman"/>
                <w:b/>
                <w:sz w:val="28"/>
              </w:rPr>
              <w:t xml:space="preserve"> </w:t>
            </w:r>
            <w:r w:rsidRPr="00AE30BB">
              <w:rPr>
                <w:rFonts w:ascii="Times New Roman" w:hAnsi="Times New Roman" w:cs="Times New Roman"/>
                <w:sz w:val="24"/>
                <w:szCs w:val="24"/>
              </w:rPr>
              <w:t xml:space="preserve">Packages must be received no later than close of business on vacancy announcement closing date.  Applicants will prepare and </w:t>
            </w:r>
            <w:r w:rsidR="0030085B" w:rsidRPr="00AE30BB">
              <w:rPr>
                <w:rFonts w:ascii="Times New Roman" w:hAnsi="Times New Roman" w:cs="Times New Roman"/>
                <w:sz w:val="24"/>
                <w:szCs w:val="24"/>
              </w:rPr>
              <w:t>email their</w:t>
            </w:r>
            <w:r w:rsidRPr="00AE30BB">
              <w:rPr>
                <w:rFonts w:ascii="Times New Roman" w:hAnsi="Times New Roman" w:cs="Times New Roman"/>
                <w:sz w:val="24"/>
                <w:szCs w:val="24"/>
              </w:rPr>
              <w:t xml:space="preserve"> application package </w:t>
            </w:r>
            <w:r w:rsidR="0030085B" w:rsidRPr="00AE30BB">
              <w:rPr>
                <w:rFonts w:ascii="Times New Roman" w:hAnsi="Times New Roman" w:cs="Times New Roman"/>
                <w:sz w:val="24"/>
                <w:szCs w:val="24"/>
              </w:rPr>
              <w:t xml:space="preserve">in a PDF Portfolio </w:t>
            </w:r>
            <w:r w:rsidRPr="00AE30BB">
              <w:rPr>
                <w:rFonts w:ascii="Times New Roman" w:hAnsi="Times New Roman" w:cs="Times New Roman"/>
                <w:sz w:val="24"/>
                <w:szCs w:val="24"/>
              </w:rPr>
              <w:t xml:space="preserve">to include all of the following: </w:t>
            </w:r>
          </w:p>
          <w:p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Cover Letter</w:t>
            </w:r>
          </w:p>
          <w:p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Resume</w:t>
            </w:r>
          </w:p>
          <w:p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One (1) copy of AF Form 24 - Application of Appointment as Reserves of the Air Force or USAF Without Component</w:t>
            </w:r>
          </w:p>
          <w:p w:rsidR="001E03C5"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Unofficial college transcripts</w:t>
            </w:r>
          </w:p>
          <w:p w:rsidR="00AE30BB" w:rsidRPr="00AE30BB" w:rsidRDefault="001E03C5"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AFOQT scores</w:t>
            </w:r>
          </w:p>
          <w:p w:rsidR="001E03C5" w:rsidRPr="00AE30BB" w:rsidRDefault="00AE30BB" w:rsidP="001E03C5">
            <w:pPr>
              <w:pStyle w:val="TableParagraph"/>
              <w:numPr>
                <w:ilvl w:val="0"/>
                <w:numId w:val="2"/>
              </w:numPr>
              <w:rPr>
                <w:rFonts w:ascii="Times New Roman" w:hAnsi="Times New Roman" w:cs="Times New Roman"/>
                <w:sz w:val="24"/>
                <w:szCs w:val="24"/>
              </w:rPr>
            </w:pPr>
            <w:r w:rsidRPr="00AE30BB">
              <w:rPr>
                <w:rFonts w:ascii="Times New Roman" w:hAnsi="Times New Roman" w:cs="Times New Roman"/>
                <w:sz w:val="24"/>
                <w:szCs w:val="24"/>
              </w:rPr>
              <w:t>Last three (3) EPRs if applicable</w:t>
            </w:r>
          </w:p>
          <w:p w:rsidR="002355C0" w:rsidRPr="00214014" w:rsidRDefault="002355C0" w:rsidP="002355C0">
            <w:pPr>
              <w:pStyle w:val="TableParagraph"/>
              <w:spacing w:before="194"/>
              <w:rPr>
                <w:rFonts w:ascii="Times New Roman" w:hAnsi="Times New Roman" w:cs="Times New Roman"/>
                <w:b/>
                <w:sz w:val="28"/>
              </w:rPr>
            </w:pPr>
          </w:p>
        </w:tc>
      </w:tr>
      <w:tr w:rsidR="00A02AF1" w:rsidRPr="00214014" w:rsidTr="00AE30BB">
        <w:trPr>
          <w:trHeight w:hRule="exact" w:val="1796"/>
        </w:trPr>
        <w:tc>
          <w:tcPr>
            <w:tcW w:w="11698" w:type="dxa"/>
          </w:tcPr>
          <w:p w:rsidR="00761676" w:rsidRDefault="00761676" w:rsidP="00761676">
            <w:pPr>
              <w:pStyle w:val="TableParagraph"/>
              <w:spacing w:before="2"/>
              <w:rPr>
                <w:rFonts w:ascii="Times New Roman" w:hAnsi="Times New Roman" w:cs="Times New Roman"/>
                <w:b/>
                <w:sz w:val="28"/>
                <w:szCs w:val="28"/>
              </w:rPr>
            </w:pPr>
            <w:r w:rsidRPr="00D729B4">
              <w:rPr>
                <w:rFonts w:ascii="Times New Roman" w:hAnsi="Times New Roman" w:cs="Times New Roman"/>
                <w:b/>
                <w:sz w:val="28"/>
                <w:szCs w:val="28"/>
              </w:rPr>
              <w:t>EMAIL APPLICATION TO</w:t>
            </w:r>
            <w:r>
              <w:rPr>
                <w:rFonts w:ascii="Times New Roman" w:hAnsi="Times New Roman" w:cs="Times New Roman"/>
                <w:b/>
                <w:sz w:val="28"/>
                <w:szCs w:val="28"/>
              </w:rPr>
              <w:t xml:space="preserve"> BOTH</w:t>
            </w:r>
            <w:r w:rsidRPr="00D729B4">
              <w:rPr>
                <w:rFonts w:ascii="Times New Roman" w:hAnsi="Times New Roman" w:cs="Times New Roman"/>
                <w:b/>
                <w:sz w:val="28"/>
                <w:szCs w:val="28"/>
              </w:rPr>
              <w:t>:</w:t>
            </w:r>
          </w:p>
          <w:p w:rsidR="00A14FCD" w:rsidRDefault="00A14FCD" w:rsidP="00A14FCD">
            <w:pPr>
              <w:pStyle w:val="TableParagraph"/>
              <w:spacing w:before="2"/>
              <w:rPr>
                <w:rFonts w:ascii="Times New Roman" w:hAnsi="Times New Roman" w:cs="Times New Roman"/>
                <w:sz w:val="24"/>
              </w:rPr>
            </w:pPr>
          </w:p>
          <w:p w:rsidR="00A14FCD" w:rsidRDefault="00A14FCD" w:rsidP="00A14FCD">
            <w:pPr>
              <w:pStyle w:val="TableParagraph"/>
              <w:spacing w:before="2"/>
              <w:rPr>
                <w:rFonts w:ascii="Times New Roman" w:hAnsi="Times New Roman" w:cs="Times New Roman"/>
                <w:color w:val="FF0000"/>
                <w:sz w:val="24"/>
              </w:rPr>
            </w:pPr>
            <w:r>
              <w:rPr>
                <w:rFonts w:ascii="Times New Roman" w:hAnsi="Times New Roman" w:cs="Times New Roman"/>
                <w:sz w:val="24"/>
              </w:rPr>
              <w:t>rebecca.adamitis@us.af.mil</w:t>
            </w:r>
            <w:r>
              <w:rPr>
                <w:rFonts w:ascii="Times New Roman" w:hAnsi="Times New Roman" w:cs="Times New Roman"/>
                <w:color w:val="FF0000"/>
                <w:sz w:val="24"/>
              </w:rPr>
              <w:t xml:space="preserve"> </w:t>
            </w:r>
            <w:r>
              <w:rPr>
                <w:rFonts w:ascii="Times New Roman" w:hAnsi="Times New Roman" w:cs="Times New Roman"/>
                <w:sz w:val="24"/>
              </w:rPr>
              <w:t>and</w:t>
            </w:r>
            <w:r>
              <w:rPr>
                <w:rFonts w:ascii="Times New Roman" w:hAnsi="Times New Roman" w:cs="Times New Roman"/>
              </w:rPr>
              <w:t xml:space="preserve"> tracy.gallagher.1@us.af.mil</w:t>
            </w:r>
            <w:r>
              <w:rPr>
                <w:rFonts w:ascii="Times New Roman" w:hAnsi="Times New Roman" w:cs="Times New Roman"/>
                <w:color w:val="FF0000"/>
                <w:sz w:val="24"/>
              </w:rPr>
              <w:t xml:space="preserve"> </w:t>
            </w:r>
          </w:p>
          <w:p w:rsidR="00A14FCD" w:rsidRDefault="00A14FCD" w:rsidP="00A14FCD">
            <w:pPr>
              <w:pStyle w:val="TableParagraph"/>
              <w:spacing w:before="2"/>
              <w:rPr>
                <w:rFonts w:ascii="Times New Roman" w:hAnsi="Times New Roman" w:cs="Times New Roman"/>
                <w:color w:val="FF0000"/>
                <w:sz w:val="24"/>
              </w:rPr>
            </w:pPr>
          </w:p>
          <w:p w:rsidR="00E00065" w:rsidRPr="00751BCF" w:rsidRDefault="00436CA6" w:rsidP="00A14FCD">
            <w:pPr>
              <w:rPr>
                <w:rFonts w:ascii="Times New Roman" w:hAnsi="Times New Roman" w:cs="Times New Roman"/>
                <w:sz w:val="24"/>
              </w:rPr>
            </w:pPr>
            <w:r>
              <w:rPr>
                <w:rFonts w:ascii="Times New Roman" w:hAnsi="Times New Roman" w:cs="Times New Roman"/>
                <w:sz w:val="24"/>
              </w:rPr>
              <w:t xml:space="preserve">Please contact SSgt </w:t>
            </w:r>
            <w:r w:rsidR="00A14FCD">
              <w:rPr>
                <w:rFonts w:ascii="Times New Roman" w:hAnsi="Times New Roman" w:cs="Times New Roman"/>
                <w:sz w:val="24"/>
              </w:rPr>
              <w:t>Rebecca Adamitis (315-233-2149) or TSgt Tracy Gallagher (315-233-2623) with any questions.</w:t>
            </w:r>
          </w:p>
        </w:tc>
      </w:tr>
    </w:tbl>
    <w:p w:rsidR="00A8161F" w:rsidRPr="00214014" w:rsidRDefault="00A8161F">
      <w:pPr>
        <w:rPr>
          <w:rFonts w:ascii="Times New Roman" w:hAnsi="Times New Roman" w:cs="Times New Roman"/>
        </w:rPr>
      </w:pPr>
    </w:p>
    <w:sectPr w:rsidR="00A8161F" w:rsidRPr="00214014">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AB" w:rsidRDefault="00C82BAB">
      <w:r>
        <w:separator/>
      </w:r>
    </w:p>
  </w:endnote>
  <w:endnote w:type="continuationSeparator" w:id="0">
    <w:p w:rsidR="00C82BAB" w:rsidRDefault="00C8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AB" w:rsidRDefault="00C82BAB">
      <w:r>
        <w:separator/>
      </w:r>
    </w:p>
  </w:footnote>
  <w:footnote w:type="continuationSeparator" w:id="0">
    <w:p w:rsidR="00C82BAB" w:rsidRDefault="00C82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2" w15:restartNumberingAfterBreak="0">
    <w:nsid w:val="5D427B41"/>
    <w:multiLevelType w:val="hybridMultilevel"/>
    <w:tmpl w:val="2528FB7E"/>
    <w:lvl w:ilvl="0" w:tplc="6C265180">
      <w:numFmt w:val="bullet"/>
      <w:lvlText w:val="-"/>
      <w:lvlJc w:val="left"/>
      <w:pPr>
        <w:ind w:left="435" w:hanging="360"/>
      </w:pPr>
      <w:rPr>
        <w:rFonts w:ascii="Times New Roman" w:eastAsia="+mn-ea" w:hAnsi="Times New Roman" w:cs="Times New Roman" w:hint="default"/>
        <w:color w:val="0000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21098"/>
    <w:rsid w:val="00052DB7"/>
    <w:rsid w:val="000A3F84"/>
    <w:rsid w:val="000B462F"/>
    <w:rsid w:val="00132F3D"/>
    <w:rsid w:val="00156881"/>
    <w:rsid w:val="001E03C5"/>
    <w:rsid w:val="001E3E99"/>
    <w:rsid w:val="002011E6"/>
    <w:rsid w:val="00214014"/>
    <w:rsid w:val="002355C0"/>
    <w:rsid w:val="0030085B"/>
    <w:rsid w:val="003958CE"/>
    <w:rsid w:val="00436CA6"/>
    <w:rsid w:val="00461A3C"/>
    <w:rsid w:val="004D2FC0"/>
    <w:rsid w:val="00556AF6"/>
    <w:rsid w:val="00585A79"/>
    <w:rsid w:val="005F63B8"/>
    <w:rsid w:val="00601D17"/>
    <w:rsid w:val="006051C6"/>
    <w:rsid w:val="00647DEC"/>
    <w:rsid w:val="006A1056"/>
    <w:rsid w:val="006B1BAE"/>
    <w:rsid w:val="006C0B0E"/>
    <w:rsid w:val="006C0CAB"/>
    <w:rsid w:val="0073383C"/>
    <w:rsid w:val="00751BCF"/>
    <w:rsid w:val="00761676"/>
    <w:rsid w:val="00763B1D"/>
    <w:rsid w:val="007A0A75"/>
    <w:rsid w:val="007B0E1A"/>
    <w:rsid w:val="00836160"/>
    <w:rsid w:val="00892CFC"/>
    <w:rsid w:val="008A5264"/>
    <w:rsid w:val="008D72ED"/>
    <w:rsid w:val="008E1DE2"/>
    <w:rsid w:val="00941560"/>
    <w:rsid w:val="00946204"/>
    <w:rsid w:val="00A02AF1"/>
    <w:rsid w:val="00A14FCD"/>
    <w:rsid w:val="00A55051"/>
    <w:rsid w:val="00A64E49"/>
    <w:rsid w:val="00A650DB"/>
    <w:rsid w:val="00A8002E"/>
    <w:rsid w:val="00A8161F"/>
    <w:rsid w:val="00A82CA1"/>
    <w:rsid w:val="00A9662E"/>
    <w:rsid w:val="00AB0CFF"/>
    <w:rsid w:val="00AB6376"/>
    <w:rsid w:val="00AE30BB"/>
    <w:rsid w:val="00B65656"/>
    <w:rsid w:val="00B94AD0"/>
    <w:rsid w:val="00BE22E0"/>
    <w:rsid w:val="00C063A6"/>
    <w:rsid w:val="00C06A60"/>
    <w:rsid w:val="00C3321F"/>
    <w:rsid w:val="00C82BAB"/>
    <w:rsid w:val="00C86B7E"/>
    <w:rsid w:val="00CA3438"/>
    <w:rsid w:val="00D16E65"/>
    <w:rsid w:val="00D82E01"/>
    <w:rsid w:val="00DB3E8E"/>
    <w:rsid w:val="00DC7A2A"/>
    <w:rsid w:val="00DD2929"/>
    <w:rsid w:val="00E00065"/>
    <w:rsid w:val="00E330D4"/>
    <w:rsid w:val="00E53541"/>
    <w:rsid w:val="00EB6F00"/>
    <w:rsid w:val="00F513A6"/>
    <w:rsid w:val="00F53F7E"/>
    <w:rsid w:val="00F74539"/>
    <w:rsid w:val="00F8107A"/>
    <w:rsid w:val="00FE1CC8"/>
    <w:rsid w:val="00FF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BBC8D80"/>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065"/>
    <w:rPr>
      <w:color w:val="0000FF" w:themeColor="hyperlink"/>
      <w:u w:val="single"/>
    </w:rPr>
  </w:style>
  <w:style w:type="paragraph" w:customStyle="1" w:styleId="Default">
    <w:name w:val="Default"/>
    <w:rsid w:val="006C0CA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0779">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604312003">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02205793">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40063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MERRILL, JULIE A MSgt USAF ANG 174 FSS/FSMP</cp:lastModifiedBy>
  <cp:revision>2</cp:revision>
  <dcterms:created xsi:type="dcterms:W3CDTF">2021-11-07T19:45:00Z</dcterms:created>
  <dcterms:modified xsi:type="dcterms:W3CDTF">2021-11-07T19:45:00Z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ies>
</file>