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455" w:type="dxa"/>
        <w:tblLook w:val="04A0" w:firstRow="1" w:lastRow="0" w:firstColumn="1" w:lastColumn="0" w:noHBand="0" w:noVBand="1"/>
      </w:tblPr>
      <w:tblGrid>
        <w:gridCol w:w="2520"/>
        <w:gridCol w:w="3510"/>
        <w:gridCol w:w="2970"/>
        <w:gridCol w:w="1800"/>
      </w:tblGrid>
      <w:tr w:rsidR="005F0A99" w:rsidRPr="005F0A99" w14:paraId="35B66CB8" w14:textId="77777777" w:rsidTr="00E87BA8">
        <w:tc>
          <w:tcPr>
            <w:tcW w:w="2520" w:type="dxa"/>
          </w:tcPr>
          <w:p w14:paraId="7B1F34D3" w14:textId="77777777" w:rsidR="005F0A99" w:rsidRPr="005F0A99" w:rsidRDefault="005F0A99" w:rsidP="002F556F">
            <w:pPr>
              <w:pStyle w:val="NoSpacing"/>
            </w:pPr>
            <w:r w:rsidRPr="005F0A99">
              <w:t>Position Title</w:t>
            </w:r>
          </w:p>
        </w:tc>
        <w:tc>
          <w:tcPr>
            <w:tcW w:w="3510" w:type="dxa"/>
          </w:tcPr>
          <w:p w14:paraId="773A8CD1" w14:textId="78F0D64D" w:rsidR="005F0A99" w:rsidRPr="005F0A99" w:rsidRDefault="002F556F" w:rsidP="00DE3A60">
            <w:pPr>
              <w:rPr>
                <w:rFonts w:ascii="Times New Roman" w:hAnsi="Times New Roman" w:cs="Times New Roman"/>
              </w:rPr>
            </w:pPr>
            <w:r>
              <w:rPr>
                <w:rFonts w:ascii="Times New Roman" w:hAnsi="Times New Roman" w:cs="Times New Roman"/>
              </w:rPr>
              <w:t>Flight Surgeon</w:t>
            </w:r>
          </w:p>
        </w:tc>
        <w:tc>
          <w:tcPr>
            <w:tcW w:w="2970"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800" w:type="dxa"/>
          </w:tcPr>
          <w:p w14:paraId="585AFD5B" w14:textId="1CF15C77" w:rsidR="005F0A99" w:rsidRPr="005F0A99" w:rsidRDefault="00E30DB0">
            <w:pPr>
              <w:rPr>
                <w:rFonts w:ascii="Times New Roman" w:hAnsi="Times New Roman" w:cs="Times New Roman"/>
              </w:rPr>
            </w:pPr>
            <w:r>
              <w:rPr>
                <w:rFonts w:ascii="Times New Roman" w:hAnsi="Times New Roman" w:cs="Times New Roman"/>
              </w:rPr>
              <w:t>23-</w:t>
            </w:r>
            <w:r w:rsidR="007F70BE">
              <w:rPr>
                <w:rFonts w:ascii="Times New Roman" w:hAnsi="Times New Roman" w:cs="Times New Roman"/>
              </w:rPr>
              <w:t>1</w:t>
            </w:r>
            <w:r w:rsidR="002F556F">
              <w:rPr>
                <w:rFonts w:ascii="Times New Roman" w:hAnsi="Times New Roman" w:cs="Times New Roman"/>
              </w:rPr>
              <w:t>2</w:t>
            </w:r>
          </w:p>
        </w:tc>
      </w:tr>
      <w:tr w:rsidR="005F0A99" w:rsidRPr="005F0A99" w14:paraId="6EBAFB6B" w14:textId="77777777" w:rsidTr="00E87BA8">
        <w:tc>
          <w:tcPr>
            <w:tcW w:w="2520"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3510" w:type="dxa"/>
          </w:tcPr>
          <w:p w14:paraId="62E70082" w14:textId="71C2BEFC" w:rsidR="005F0A99" w:rsidRPr="005F0A99" w:rsidRDefault="00144406">
            <w:pPr>
              <w:rPr>
                <w:rFonts w:ascii="Times New Roman" w:hAnsi="Times New Roman" w:cs="Times New Roman"/>
              </w:rPr>
            </w:pPr>
            <w:r>
              <w:rPr>
                <w:rFonts w:ascii="Times New Roman" w:hAnsi="Times New Roman" w:cs="Times New Roman"/>
              </w:rPr>
              <w:t>109</w:t>
            </w:r>
            <w:r w:rsidRPr="00144406">
              <w:rPr>
                <w:rFonts w:ascii="Times New Roman" w:hAnsi="Times New Roman" w:cs="Times New Roman"/>
                <w:vertAlign w:val="superscript"/>
              </w:rPr>
              <w:t>th</w:t>
            </w:r>
            <w:r>
              <w:rPr>
                <w:rFonts w:ascii="Times New Roman" w:hAnsi="Times New Roman" w:cs="Times New Roman"/>
              </w:rPr>
              <w:t xml:space="preserve"> </w:t>
            </w:r>
            <w:r w:rsidR="00E87BA8">
              <w:rPr>
                <w:rFonts w:ascii="Times New Roman" w:hAnsi="Times New Roman" w:cs="Times New Roman"/>
              </w:rPr>
              <w:t xml:space="preserve">AW / </w:t>
            </w:r>
            <w:r w:rsidR="002F556F">
              <w:rPr>
                <w:rFonts w:ascii="Times New Roman" w:hAnsi="Times New Roman" w:cs="Times New Roman"/>
              </w:rPr>
              <w:t>48R3</w:t>
            </w:r>
          </w:p>
        </w:tc>
        <w:tc>
          <w:tcPr>
            <w:tcW w:w="2970"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800" w:type="dxa"/>
          </w:tcPr>
          <w:p w14:paraId="7829980C" w14:textId="6106959D" w:rsidR="005F0A99" w:rsidRPr="005F0A99" w:rsidRDefault="002F556F" w:rsidP="0068459A">
            <w:pPr>
              <w:rPr>
                <w:rFonts w:ascii="Times New Roman" w:hAnsi="Times New Roman" w:cs="Times New Roman"/>
              </w:rPr>
            </w:pPr>
            <w:r>
              <w:rPr>
                <w:rFonts w:ascii="Times New Roman" w:hAnsi="Times New Roman" w:cs="Times New Roman"/>
              </w:rPr>
              <w:t>5</w:t>
            </w:r>
            <w:r w:rsidR="007F70BE">
              <w:rPr>
                <w:rFonts w:ascii="Times New Roman" w:hAnsi="Times New Roman" w:cs="Times New Roman"/>
              </w:rPr>
              <w:t xml:space="preserve"> Apr 2023</w:t>
            </w:r>
          </w:p>
        </w:tc>
      </w:tr>
      <w:tr w:rsidR="005F0A99" w:rsidRPr="005F0A99" w14:paraId="6AEA4A4E" w14:textId="77777777" w:rsidTr="00E87BA8">
        <w:tc>
          <w:tcPr>
            <w:tcW w:w="2520"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3510" w:type="dxa"/>
          </w:tcPr>
          <w:p w14:paraId="02EDDB3A" w14:textId="31B93130" w:rsidR="005F0A99" w:rsidRPr="005F0A99" w:rsidRDefault="009301E4">
            <w:pPr>
              <w:rPr>
                <w:rFonts w:ascii="Times New Roman" w:hAnsi="Times New Roman" w:cs="Times New Roman"/>
              </w:rPr>
            </w:pPr>
            <w:r>
              <w:rPr>
                <w:rFonts w:ascii="Times New Roman" w:hAnsi="Times New Roman" w:cs="Times New Roman"/>
              </w:rPr>
              <w:t xml:space="preserve">New Commissioning Opportunity </w:t>
            </w:r>
          </w:p>
        </w:tc>
        <w:tc>
          <w:tcPr>
            <w:tcW w:w="2970"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800" w:type="dxa"/>
          </w:tcPr>
          <w:p w14:paraId="68C50F56" w14:textId="05DBE611" w:rsidR="005F0A99" w:rsidRPr="005F0A99" w:rsidRDefault="002F556F">
            <w:pPr>
              <w:rPr>
                <w:rFonts w:ascii="Times New Roman" w:hAnsi="Times New Roman" w:cs="Times New Roman"/>
              </w:rPr>
            </w:pPr>
            <w:r>
              <w:rPr>
                <w:rFonts w:ascii="Times New Roman" w:hAnsi="Times New Roman" w:cs="Times New Roman"/>
              </w:rPr>
              <w:t>4</w:t>
            </w:r>
            <w:r w:rsidR="007F70BE">
              <w:rPr>
                <w:rFonts w:ascii="Times New Roman" w:hAnsi="Times New Roman" w:cs="Times New Roman"/>
              </w:rPr>
              <w:t xml:space="preserve"> </w:t>
            </w:r>
            <w:r>
              <w:rPr>
                <w:rFonts w:ascii="Times New Roman" w:hAnsi="Times New Roman" w:cs="Times New Roman"/>
              </w:rPr>
              <w:t>Jul</w:t>
            </w:r>
            <w:r w:rsidR="007F70BE">
              <w:rPr>
                <w:rFonts w:ascii="Times New Roman" w:hAnsi="Times New Roman" w:cs="Times New Roman"/>
              </w:rPr>
              <w:t xml:space="preserve"> 2023</w:t>
            </w:r>
          </w:p>
        </w:tc>
      </w:tr>
      <w:tr w:rsidR="005F0A99" w:rsidRPr="005F0A99" w14:paraId="528F5DB4" w14:textId="77777777" w:rsidTr="00E87BA8">
        <w:tc>
          <w:tcPr>
            <w:tcW w:w="2520"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3510" w:type="dxa"/>
          </w:tcPr>
          <w:p w14:paraId="3A239418" w14:textId="760FEBD3" w:rsidR="005F0A99" w:rsidRPr="005F0A99" w:rsidRDefault="009301E4">
            <w:pPr>
              <w:rPr>
                <w:rFonts w:ascii="Times New Roman" w:hAnsi="Times New Roman" w:cs="Times New Roman"/>
              </w:rPr>
            </w:pPr>
            <w:r>
              <w:rPr>
                <w:rFonts w:ascii="Times New Roman" w:hAnsi="Times New Roman" w:cs="Times New Roman"/>
              </w:rPr>
              <w:t>O-</w:t>
            </w:r>
            <w:r w:rsidR="002F556F">
              <w:rPr>
                <w:rFonts w:ascii="Times New Roman" w:hAnsi="Times New Roman" w:cs="Times New Roman"/>
              </w:rPr>
              <w:t>5</w:t>
            </w:r>
            <w:r>
              <w:rPr>
                <w:rFonts w:ascii="Times New Roman" w:hAnsi="Times New Roman" w:cs="Times New Roman"/>
              </w:rPr>
              <w:t xml:space="preserve"> </w:t>
            </w:r>
            <w:r w:rsidR="002F556F">
              <w:rPr>
                <w:rFonts w:ascii="Times New Roman" w:hAnsi="Times New Roman" w:cs="Times New Roman"/>
              </w:rPr>
              <w:t>Lieutenant Colonel</w:t>
            </w:r>
          </w:p>
        </w:tc>
        <w:tc>
          <w:tcPr>
            <w:tcW w:w="2970"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800" w:type="dxa"/>
          </w:tcPr>
          <w:p w14:paraId="37E475FE" w14:textId="097C0517" w:rsidR="005F0A99" w:rsidRPr="005F0A99" w:rsidRDefault="00DD4810">
            <w:pPr>
              <w:rPr>
                <w:rFonts w:ascii="Times New Roman" w:hAnsi="Times New Roman" w:cs="Times New Roman"/>
              </w:rPr>
            </w:pPr>
            <w:r>
              <w:rPr>
                <w:rFonts w:ascii="Times New Roman" w:hAnsi="Times New Roman" w:cs="Times New Roman"/>
              </w:rPr>
              <w:t>NATIONWIDE</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13A4E34F" w14:textId="3388622B" w:rsidR="005F0A99" w:rsidRDefault="005F0A99" w:rsidP="00E50720">
            <w:pPr>
              <w:jc w:val="center"/>
              <w:rPr>
                <w:rFonts w:ascii="Times New Roman" w:hAnsi="Times New Roman" w:cs="Times New Roman"/>
                <w:i/>
              </w:rPr>
            </w:pPr>
            <w:r w:rsidRPr="00DE3A60">
              <w:rPr>
                <w:rFonts w:ascii="Times New Roman" w:hAnsi="Times New Roman" w:cs="Times New Roman"/>
                <w:i/>
              </w:rPr>
              <w:t xml:space="preserve">As outlined in AFOCD dated 30 </w:t>
            </w:r>
            <w:r w:rsidR="00B875C8">
              <w:rPr>
                <w:rFonts w:ascii="Times New Roman" w:hAnsi="Times New Roman" w:cs="Times New Roman"/>
                <w:i/>
              </w:rPr>
              <w:t>October</w:t>
            </w:r>
            <w:r w:rsidRPr="00DE3A60">
              <w:rPr>
                <w:rFonts w:ascii="Times New Roman" w:hAnsi="Times New Roman" w:cs="Times New Roman"/>
                <w:i/>
              </w:rPr>
              <w:t xml:space="preserve"> 2022</w:t>
            </w:r>
          </w:p>
          <w:p w14:paraId="1F4AB68B" w14:textId="098F413F"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Administers the aerospace medicine program; conducts medical examinations and provides medical care for aircrew, missile crews, special duty operators and others with special standards of medical qualification and readiness functions. Evaluates living and working environments to detect and control health hazards and prevent disease and injury within the Air Force</w:t>
            </w:r>
          </w:p>
          <w:p w14:paraId="37B10393" w14:textId="1049C18C" w:rsidR="00E50720" w:rsidRPr="00A721DE"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community. Related DoD Occupational Group: 260101.</w:t>
            </w:r>
          </w:p>
        </w:tc>
      </w:tr>
      <w:tr w:rsidR="005F0A99" w:rsidRPr="005F0A99" w14:paraId="178A4B3F" w14:textId="77777777" w:rsidTr="005F0A99">
        <w:tc>
          <w:tcPr>
            <w:tcW w:w="9350" w:type="dxa"/>
          </w:tcPr>
          <w:p w14:paraId="5E8A0C72" w14:textId="7EB0744F" w:rsidR="00DE3A60" w:rsidRPr="00E87BA8" w:rsidRDefault="005F0A99" w:rsidP="0068459A">
            <w:pPr>
              <w:jc w:val="center"/>
              <w:rPr>
                <w:rFonts w:ascii="Times New Roman" w:hAnsi="Times New Roman" w:cs="Times New Roman"/>
                <w:bCs/>
                <w:sz w:val="28"/>
                <w:u w:val="single"/>
              </w:rPr>
            </w:pPr>
            <w:r w:rsidRPr="00E87BA8">
              <w:rPr>
                <w:rFonts w:ascii="Times New Roman" w:hAnsi="Times New Roman" w:cs="Times New Roman"/>
                <w:bCs/>
                <w:sz w:val="28"/>
                <w:u w:val="single"/>
              </w:rPr>
              <w:t xml:space="preserve">Duties and Responsibilities </w:t>
            </w:r>
          </w:p>
          <w:p w14:paraId="52D05CF5" w14:textId="6796646D" w:rsidR="008F3F0A" w:rsidRDefault="005A0DFB" w:rsidP="008F3F0A">
            <w:pPr>
              <w:autoSpaceDE w:val="0"/>
              <w:autoSpaceDN w:val="0"/>
              <w:adjustRightInd w:val="0"/>
              <w:rPr>
                <w:rFonts w:ascii="CIDFont+F1" w:eastAsia="CIDFont+F1" w:cs="CIDFont+F1"/>
                <w:sz w:val="20"/>
                <w:szCs w:val="20"/>
              </w:rPr>
            </w:pPr>
            <w:r>
              <w:rPr>
                <w:rFonts w:ascii="CIDFont+F1" w:eastAsia="CIDFont+F1" w:cs="CIDFont+F1"/>
                <w:sz w:val="20"/>
                <w:szCs w:val="20"/>
              </w:rPr>
              <w:t>-</w:t>
            </w:r>
            <w:r w:rsidR="008F3F0A">
              <w:rPr>
                <w:rFonts w:ascii="CIDFont+F1" w:eastAsia="CIDFont+F1" w:cs="CIDFont+F1"/>
                <w:sz w:val="20"/>
                <w:szCs w:val="20"/>
              </w:rPr>
              <w:t>Provides aerospace medicine support. Implements policies and procedures and prepares directives governing flight and operational medicine, preventive medicine, and occupational medicine. Serves as liaison with federal, state, and local agencies in matters related to</w:t>
            </w:r>
          </w:p>
          <w:p w14:paraId="080D517B" w14:textId="1C16F822"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operational aerospace medicine, preventive medicine, and occupational medicine. Applies medical standards for aircrew and special operational personnel. Submits recommendations on waivers and medical retention standards. Develops programs to ensure a fit force for worldwide deployments. Participates in training programs for aeromedical personnel.</w:t>
            </w:r>
          </w:p>
          <w:p w14:paraId="5A67FDF6" w14:textId="54D1539F"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w:t>
            </w:r>
          </w:p>
          <w:p w14:paraId="13E9EDFC" w14:textId="5F8C0EB9"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-Advises medical staff. Advises medical and dental staff on treatment of aircrew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w:t>
            </w:r>
          </w:p>
          <w:p w14:paraId="249CBD40" w14:textId="3AC62BD3"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-Provides occupational medicine support. Participates in the process of determining frequency and scope of occupational medicine exams required by federal regulations and workplace exposures. Conducts and supervises placement and periodic health exams for</w:t>
            </w:r>
          </w:p>
          <w:p w14:paraId="2C14FA9F" w14:textId="77777777"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 xml:space="preserve">employees. Identifies occupational hazards, notifies appropriate agencies of occupational diseases, and </w:t>
            </w:r>
            <w:proofErr w:type="gramStart"/>
            <w:r>
              <w:rPr>
                <w:rFonts w:ascii="CIDFont+F1" w:eastAsia="CIDFont+F1" w:cs="CIDFont+F1"/>
                <w:sz w:val="20"/>
                <w:szCs w:val="20"/>
              </w:rPr>
              <w:t>job related</w:t>
            </w:r>
            <w:proofErr w:type="gramEnd"/>
            <w:r>
              <w:rPr>
                <w:rFonts w:ascii="CIDFont+F1" w:eastAsia="CIDFont+F1" w:cs="CIDFont+F1"/>
                <w:sz w:val="20"/>
                <w:szCs w:val="20"/>
              </w:rPr>
              <w:t xml:space="preserve"> injuries or illnesses.</w:t>
            </w:r>
          </w:p>
          <w:p w14:paraId="054C49DC" w14:textId="3C3C017D"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lastRenderedPageBreak/>
              <w:t>-Conducts medical examinations of personnel with special standards of medical care. Examines personnel to determine fitness for flying and special duties, or to recommend continuance, removal, or return to flying status and aviation service.</w:t>
            </w:r>
          </w:p>
          <w:p w14:paraId="0F80B6AB" w14:textId="3FD5291E"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 xml:space="preserve">-Provides and organizes medical care for aircrew and special operational personnel, to include preventive medicine, counseling, and family unit support. Manages disorders and injuries unique to flying operations. Provides specialty consultation to aeromedical staff. Serves as liaison between flying squadrons and medical services. Directs outpatient and inpatient care and service to aircrew and special operation personnel. May provide dependent care within the scope of their privileges, as determined by assignment </w:t>
            </w:r>
            <w:r w:rsidR="00CC0D1B">
              <w:rPr>
                <w:rFonts w:ascii="CIDFont+F1" w:eastAsia="CIDFont+F1" w:cs="CIDFont+F1"/>
                <w:sz w:val="20"/>
                <w:szCs w:val="20"/>
              </w:rPr>
              <w:t>location or</w:t>
            </w:r>
            <w:r>
              <w:rPr>
                <w:rFonts w:ascii="CIDFont+F1" w:eastAsia="CIDFont+F1" w:cs="CIDFont+F1"/>
                <w:sz w:val="20"/>
                <w:szCs w:val="20"/>
              </w:rPr>
              <w:t xml:space="preserve"> to maintain currency in other AFSCs they possess.</w:t>
            </w:r>
          </w:p>
          <w:p w14:paraId="3E11BE8E" w14:textId="38C98903" w:rsidR="008F3F0A"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aircrew and special operational personnel in healthy </w:t>
            </w:r>
            <w:r w:rsidR="00725807">
              <w:rPr>
                <w:rFonts w:ascii="CIDFont+F1" w:eastAsia="CIDFont+F1" w:cs="CIDFont+F1"/>
                <w:sz w:val="20"/>
                <w:szCs w:val="20"/>
              </w:rPr>
              <w:t>lifestyles</w:t>
            </w:r>
            <w:r>
              <w:rPr>
                <w:rFonts w:ascii="CIDFont+F1" w:eastAsia="CIDFont+F1" w:cs="CIDFont+F1"/>
                <w:sz w:val="20"/>
                <w:szCs w:val="20"/>
              </w:rPr>
              <w:t xml:space="preserve">. Establishes procedures for aircraft mishap and disaster </w:t>
            </w:r>
            <w:r w:rsidR="00725807">
              <w:rPr>
                <w:rFonts w:ascii="CIDFont+F1" w:eastAsia="CIDFont+F1" w:cs="CIDFont+F1"/>
                <w:sz w:val="20"/>
                <w:szCs w:val="20"/>
              </w:rPr>
              <w:t>response and</w:t>
            </w:r>
            <w:r>
              <w:rPr>
                <w:rFonts w:ascii="CIDFont+F1" w:eastAsia="CIDFont+F1" w:cs="CIDFont+F1"/>
                <w:sz w:val="20"/>
                <w:szCs w:val="20"/>
              </w:rPr>
              <w:t xml:space="preserve"> managing casualties in aviation accidents and other disasters. Provides advice on air rescue and aeromedical evacuation. Participates in flying safety and </w:t>
            </w:r>
            <w:r w:rsidR="00725807">
              <w:rPr>
                <w:rFonts w:ascii="CIDFont+F1" w:eastAsia="CIDFont+F1" w:cs="CIDFont+F1"/>
                <w:sz w:val="20"/>
                <w:szCs w:val="20"/>
              </w:rPr>
              <w:t xml:space="preserve">aircrew. </w:t>
            </w:r>
            <w:r>
              <w:rPr>
                <w:rFonts w:ascii="CIDFont+F1" w:eastAsia="CIDFont+F1" w:cs="CIDFont+F1"/>
                <w:sz w:val="20"/>
                <w:szCs w:val="20"/>
              </w:rPr>
              <w:t>performance enhancement programs.</w:t>
            </w:r>
          </w:p>
          <w:p w14:paraId="49C83057" w14:textId="4AF0CDAE" w:rsidR="008F3F0A" w:rsidRDefault="00725807" w:rsidP="008F3F0A">
            <w:pPr>
              <w:autoSpaceDE w:val="0"/>
              <w:autoSpaceDN w:val="0"/>
              <w:adjustRightInd w:val="0"/>
              <w:rPr>
                <w:rFonts w:ascii="CIDFont+F1" w:eastAsia="CIDFont+F1" w:cs="CIDFont+F1"/>
                <w:sz w:val="20"/>
                <w:szCs w:val="20"/>
              </w:rPr>
            </w:pPr>
            <w:r>
              <w:rPr>
                <w:rFonts w:ascii="CIDFont+F1" w:eastAsia="CIDFont+F1" w:cs="CIDFont+F1"/>
                <w:sz w:val="20"/>
                <w:szCs w:val="20"/>
              </w:rPr>
              <w:t>-</w:t>
            </w:r>
            <w:r w:rsidR="008F3F0A">
              <w:rPr>
                <w:rFonts w:ascii="CIDFont+F1" w:eastAsia="CIDFont+F1" w:cs="CIDFont+F1"/>
                <w:sz w:val="20"/>
                <w:szCs w:val="20"/>
              </w:rPr>
              <w:t>Serves on aircraft mishap investigation boards.</w:t>
            </w:r>
          </w:p>
          <w:p w14:paraId="493370DC" w14:textId="56CFCD4E" w:rsidR="008F3F0A" w:rsidRDefault="00725807" w:rsidP="008F3F0A">
            <w:pPr>
              <w:autoSpaceDE w:val="0"/>
              <w:autoSpaceDN w:val="0"/>
              <w:adjustRightInd w:val="0"/>
              <w:rPr>
                <w:rFonts w:ascii="CIDFont+F1" w:eastAsia="CIDFont+F1" w:cs="CIDFont+F1"/>
                <w:sz w:val="20"/>
                <w:szCs w:val="20"/>
              </w:rPr>
            </w:pPr>
            <w:r>
              <w:rPr>
                <w:rFonts w:ascii="CIDFont+F1" w:eastAsia="CIDFont+F1" w:cs="CIDFont+F1"/>
                <w:sz w:val="20"/>
                <w:szCs w:val="20"/>
              </w:rPr>
              <w:t>-</w:t>
            </w:r>
            <w:r w:rsidR="008F3F0A">
              <w:rPr>
                <w:rFonts w:ascii="CIDFont+F1" w:eastAsia="CIDFont+F1" w:cs="CIDFont+F1"/>
                <w:sz w:val="20"/>
                <w:szCs w:val="20"/>
              </w:rPr>
              <w:t xml:space="preserve">Provides medical support during contingency operations. Conducts medical prevention, </w:t>
            </w:r>
            <w:r>
              <w:rPr>
                <w:rFonts w:ascii="CIDFont+F1" w:eastAsia="CIDFont+F1" w:cs="CIDFont+F1"/>
                <w:sz w:val="20"/>
                <w:szCs w:val="20"/>
              </w:rPr>
              <w:t>intervention,</w:t>
            </w:r>
            <w:r w:rsidR="008F3F0A">
              <w:rPr>
                <w:rFonts w:ascii="CIDFont+F1" w:eastAsia="CIDFont+F1" w:cs="CIDFont+F1"/>
                <w:sz w:val="20"/>
                <w:szCs w:val="20"/>
              </w:rPr>
              <w:t xml:space="preserve"> and evacuation </w:t>
            </w:r>
            <w:r>
              <w:rPr>
                <w:rFonts w:ascii="CIDFont+F1" w:eastAsia="CIDFont+F1" w:cs="CIDFont+F1"/>
                <w:sz w:val="20"/>
                <w:szCs w:val="20"/>
              </w:rPr>
              <w:t xml:space="preserve">activities </w:t>
            </w:r>
            <w:r w:rsidR="008F3F0A">
              <w:rPr>
                <w:rFonts w:ascii="CIDFont+F1" w:eastAsia="CIDFont+F1" w:cs="CIDFont+F1"/>
                <w:sz w:val="20"/>
                <w:szCs w:val="20"/>
              </w:rPr>
              <w:t>during contingency operations. Gathers and utilizes medical intelligence to provide optimal medical support to deployed forces.</w:t>
            </w:r>
            <w:r>
              <w:rPr>
                <w:rFonts w:ascii="CIDFont+F1" w:eastAsia="CIDFont+F1" w:cs="CIDFont+F1"/>
                <w:sz w:val="20"/>
                <w:szCs w:val="20"/>
              </w:rPr>
              <w:t xml:space="preserve"> </w:t>
            </w:r>
            <w:r w:rsidR="008F3F0A">
              <w:rPr>
                <w:rFonts w:ascii="CIDFont+F1" w:eastAsia="CIDFont+F1" w:cs="CIDFont+F1"/>
                <w:sz w:val="20"/>
                <w:szCs w:val="20"/>
              </w:rPr>
              <w:t>Develops support mechanisms for family members of deployed personnel. Integrates their primary medical specialty with an</w:t>
            </w:r>
          </w:p>
          <w:p w14:paraId="332E6FF8" w14:textId="557D7698" w:rsidR="005F0A99" w:rsidRPr="005A0DFB" w:rsidRDefault="008F3F0A" w:rsidP="008F3F0A">
            <w:pPr>
              <w:autoSpaceDE w:val="0"/>
              <w:autoSpaceDN w:val="0"/>
              <w:adjustRightInd w:val="0"/>
              <w:rPr>
                <w:rFonts w:ascii="CIDFont+F1" w:eastAsia="CIDFont+F1" w:cs="CIDFont+F1"/>
                <w:sz w:val="20"/>
                <w:szCs w:val="20"/>
              </w:rPr>
            </w:pPr>
            <w:r>
              <w:rPr>
                <w:rFonts w:ascii="CIDFont+F1" w:eastAsia="CIDFont+F1" w:cs="CIDFont+F1"/>
                <w:sz w:val="20"/>
                <w:szCs w:val="20"/>
              </w:rPr>
              <w:t>understanding of aviation and contingency medicine to identify research needs in support of Air Force operations.</w:t>
            </w:r>
          </w:p>
        </w:tc>
      </w:tr>
      <w:tr w:rsidR="005F0A99" w:rsidRPr="005F0A99" w14:paraId="46E01046" w14:textId="77777777" w:rsidTr="005F0A99">
        <w:tc>
          <w:tcPr>
            <w:tcW w:w="9350" w:type="dxa"/>
          </w:tcPr>
          <w:p w14:paraId="2F7574AC"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 xml:space="preserve">Specialty Qualifications </w:t>
            </w:r>
          </w:p>
          <w:p w14:paraId="0B8FFC79" w14:textId="07FB19F2" w:rsidR="00DE3A60" w:rsidRDefault="005F0A99" w:rsidP="005F0A99">
            <w:pPr>
              <w:rPr>
                <w:rFonts w:ascii="Times New Roman" w:hAnsi="Times New Roman" w:cs="Times New Roman"/>
                <w:u w:val="single"/>
              </w:rPr>
            </w:pPr>
            <w:r w:rsidRPr="005F0A99">
              <w:rPr>
                <w:rFonts w:ascii="Times New Roman" w:hAnsi="Times New Roman" w:cs="Times New Roman"/>
                <w:b/>
                <w:sz w:val="28"/>
                <w:u w:val="single"/>
              </w:rPr>
              <w:t xml:space="preserve">Knowledge: </w:t>
            </w:r>
            <w:r w:rsidRPr="00E50720">
              <w:rPr>
                <w:rFonts w:ascii="Times New Roman" w:hAnsi="Times New Roman" w:cs="Times New Roman"/>
                <w:i/>
              </w:rPr>
              <w:t>The following knowledge is mandatory for the AFSCs indicated</w:t>
            </w:r>
            <w:r w:rsidRPr="005F0A99">
              <w:rPr>
                <w:rFonts w:ascii="Times New Roman" w:hAnsi="Times New Roman" w:cs="Times New Roman"/>
                <w:u w:val="single"/>
              </w:rPr>
              <w:t>:</w:t>
            </w:r>
          </w:p>
          <w:p w14:paraId="28DA78C8" w14:textId="20422CC5" w:rsidR="005A0DFB" w:rsidRDefault="00725807" w:rsidP="00E87BA8">
            <w:pPr>
              <w:autoSpaceDE w:val="0"/>
              <w:autoSpaceDN w:val="0"/>
              <w:adjustRightInd w:val="0"/>
              <w:rPr>
                <w:rFonts w:ascii="Times New Roman" w:hAnsi="Times New Roman" w:cs="Times New Roman"/>
                <w:b/>
                <w:sz w:val="28"/>
                <w:u w:val="single"/>
              </w:rPr>
            </w:pPr>
            <w:r>
              <w:rPr>
                <w:rFonts w:ascii="CIDFont+F1" w:eastAsia="CIDFont+F1" w:cs="CIDFont+F1"/>
                <w:sz w:val="20"/>
                <w:szCs w:val="20"/>
              </w:rPr>
              <w:t>Knowledge. Fulfillment of education and experience requirements satisfies this requirement.</w:t>
            </w:r>
          </w:p>
          <w:p w14:paraId="3748A65C" w14:textId="77777777" w:rsidR="005A0DFB" w:rsidRDefault="005A0DFB" w:rsidP="00E87BA8">
            <w:pPr>
              <w:autoSpaceDE w:val="0"/>
              <w:autoSpaceDN w:val="0"/>
              <w:adjustRightInd w:val="0"/>
              <w:rPr>
                <w:rFonts w:ascii="Times New Roman" w:hAnsi="Times New Roman" w:cs="Times New Roman"/>
                <w:b/>
                <w:sz w:val="28"/>
                <w:u w:val="single"/>
              </w:rPr>
            </w:pPr>
          </w:p>
          <w:p w14:paraId="48B4755F" w14:textId="77777777" w:rsidR="005A0DFB" w:rsidRDefault="005A0DFB" w:rsidP="00E87BA8">
            <w:pPr>
              <w:autoSpaceDE w:val="0"/>
              <w:autoSpaceDN w:val="0"/>
              <w:adjustRightInd w:val="0"/>
              <w:rPr>
                <w:rFonts w:ascii="Times New Roman" w:hAnsi="Times New Roman" w:cs="Times New Roman"/>
                <w:b/>
                <w:sz w:val="28"/>
                <w:u w:val="single"/>
              </w:rPr>
            </w:pPr>
          </w:p>
          <w:p w14:paraId="07A6E460" w14:textId="7922D78F" w:rsidR="000E5680" w:rsidRPr="00E87BA8" w:rsidRDefault="005F0A99" w:rsidP="00E87BA8">
            <w:pPr>
              <w:autoSpaceDE w:val="0"/>
              <w:autoSpaceDN w:val="0"/>
              <w:adjustRightInd w:val="0"/>
              <w:rPr>
                <w:rFonts w:ascii="CIDFont+F1" w:eastAsia="CIDFont+F1" w:cs="CIDFont+F1"/>
                <w:sz w:val="20"/>
                <w:szCs w:val="20"/>
              </w:rPr>
            </w:pPr>
            <w:r w:rsidRPr="005F0A99">
              <w:rPr>
                <w:rFonts w:ascii="Times New Roman" w:hAnsi="Times New Roman" w:cs="Times New Roman"/>
                <w:b/>
                <w:sz w:val="28"/>
                <w:u w:val="single"/>
              </w:rPr>
              <w:t>Education:</w:t>
            </w:r>
          </w:p>
          <w:p w14:paraId="39DE2AD2" w14:textId="7C596954" w:rsid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Education. For entry into this specialty, it is mandatory to possess a Doctor of Medicine (MD) degree or a doctor of osteopathy. (DO) degree from an approved school of medicine or osteopathy.</w:t>
            </w:r>
          </w:p>
          <w:p w14:paraId="25C65C57" w14:textId="16403FD9" w:rsidR="005A0DFB" w:rsidRDefault="005F0A99" w:rsidP="00725807">
            <w:pPr>
              <w:autoSpaceDE w:val="0"/>
              <w:autoSpaceDN w:val="0"/>
              <w:adjustRightInd w:val="0"/>
              <w:rPr>
                <w:rFonts w:ascii="CIDFont+F1" w:eastAsia="CIDFont+F1" w:cs="CIDFont+F1"/>
                <w:sz w:val="20"/>
                <w:szCs w:val="20"/>
              </w:rPr>
            </w:pPr>
            <w:r w:rsidRPr="00E50720">
              <w:rPr>
                <w:rFonts w:ascii="Times New Roman" w:hAnsi="Times New Roman" w:cs="Times New Roman"/>
                <w:b/>
                <w:sz w:val="28"/>
                <w:u w:val="single"/>
              </w:rPr>
              <w:t>Training:</w:t>
            </w:r>
            <w:r w:rsidRPr="005F0A99">
              <w:rPr>
                <w:rFonts w:ascii="Times New Roman" w:hAnsi="Times New Roman" w:cs="Times New Roman"/>
                <w:b/>
                <w:sz w:val="28"/>
                <w:u w:val="single"/>
              </w:rPr>
              <w:t xml:space="preserve"> </w:t>
            </w:r>
            <w:r w:rsidR="005A0DFB">
              <w:rPr>
                <w:rFonts w:ascii="CIDFont+F1" w:eastAsia="CIDFont+F1" w:cs="CIDFont+F1"/>
                <w:sz w:val="20"/>
                <w:szCs w:val="20"/>
              </w:rPr>
              <w:t>The following is mandatory for award of the AFSC indicated:</w:t>
            </w:r>
          </w:p>
          <w:p w14:paraId="28673E17" w14:textId="51C81F17" w:rsid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-For entry and award of AFSC 48R1, completion of a residency (other than the USAFSAM Residency in Aerospace Medicine) at a residency training program acceptable to the Surgeon General, HQ USAF.</w:t>
            </w:r>
          </w:p>
          <w:p w14:paraId="45B66BD6" w14:textId="0253C09F" w:rsidR="00725807" w:rsidRPr="00725807" w:rsidRDefault="00725807" w:rsidP="00725807">
            <w:pPr>
              <w:autoSpaceDE w:val="0"/>
              <w:autoSpaceDN w:val="0"/>
              <w:adjustRightInd w:val="0"/>
              <w:rPr>
                <w:rFonts w:ascii="CIDFont+F4" w:eastAsia="CIDFont+F1" w:hAnsi="CIDFont+F4" w:cs="CIDFont+F4"/>
                <w:sz w:val="20"/>
                <w:szCs w:val="20"/>
              </w:rPr>
            </w:pPr>
            <w:r>
              <w:rPr>
                <w:rFonts w:ascii="CIDFont+F1" w:eastAsia="CIDFont+F1" w:cs="CIDFont+F1"/>
                <w:sz w:val="20"/>
                <w:szCs w:val="20"/>
              </w:rPr>
              <w:lastRenderedPageBreak/>
              <w:t xml:space="preserve">-Completion of the primary course in aerospace medicine IAW AFI 48-149, </w:t>
            </w:r>
            <w:r>
              <w:rPr>
                <w:rFonts w:ascii="CIDFont+F4" w:eastAsia="CIDFont+F1" w:hAnsi="CIDFont+F4" w:cs="CIDFont+F4"/>
                <w:sz w:val="20"/>
                <w:szCs w:val="20"/>
              </w:rPr>
              <w:t>Flight and Operational Medicine Program (FOMP)</w:t>
            </w:r>
            <w:r>
              <w:rPr>
                <w:rFonts w:ascii="CIDFont+F1" w:eastAsia="CIDFont+F1" w:cs="CIDFont+F1"/>
                <w:sz w:val="20"/>
                <w:szCs w:val="20"/>
              </w:rPr>
              <w:t>as outlined in Initial Qualification Training (IQT).</w:t>
            </w:r>
          </w:p>
          <w:p w14:paraId="1CF3A91A" w14:textId="698245A3" w:rsidR="004B18BA" w:rsidRDefault="005F0A99" w:rsidP="00725807">
            <w:pPr>
              <w:autoSpaceDE w:val="0"/>
              <w:autoSpaceDN w:val="0"/>
              <w:adjustRightInd w:val="0"/>
              <w:rPr>
                <w:rFonts w:ascii="CIDFont+F1" w:eastAsia="CIDFont+F1" w:cs="CIDFont+F1"/>
                <w:sz w:val="20"/>
                <w:szCs w:val="20"/>
              </w:rPr>
            </w:pPr>
            <w:r>
              <w:rPr>
                <w:rFonts w:ascii="Times New Roman" w:hAnsi="Times New Roman" w:cs="Times New Roman"/>
                <w:b/>
                <w:sz w:val="28"/>
                <w:u w:val="single"/>
              </w:rPr>
              <w:t xml:space="preserve">Experience: </w:t>
            </w:r>
            <w:r w:rsidR="004B18BA">
              <w:rPr>
                <w:rFonts w:ascii="CIDFont+F1" w:eastAsia="CIDFont+F1" w:cs="CIDFont+F1"/>
                <w:sz w:val="20"/>
                <w:szCs w:val="20"/>
              </w:rPr>
              <w:t>The following experience is mandatory:</w:t>
            </w:r>
          </w:p>
          <w:p w14:paraId="5B4CAB38" w14:textId="77C9C1BC" w:rsidR="00725807" w:rsidRDefault="004B18BA" w:rsidP="00725807">
            <w:pPr>
              <w:autoSpaceDE w:val="0"/>
              <w:autoSpaceDN w:val="0"/>
              <w:adjustRightInd w:val="0"/>
              <w:rPr>
                <w:rFonts w:ascii="CIDFont+F1" w:eastAsia="CIDFont+F1" w:cs="CIDFont+F1"/>
                <w:sz w:val="20"/>
                <w:szCs w:val="20"/>
              </w:rPr>
            </w:pPr>
            <w:r>
              <w:rPr>
                <w:rFonts w:ascii="CIDFont+F1" w:eastAsia="CIDFont+F1" w:cs="CIDFont+F1"/>
                <w:sz w:val="20"/>
                <w:szCs w:val="20"/>
              </w:rPr>
              <w:t>-</w:t>
            </w:r>
            <w:r w:rsidR="00725807">
              <w:rPr>
                <w:rFonts w:ascii="CIDFont+F1" w:eastAsia="CIDFont+F1" w:cs="CIDFont+F1"/>
                <w:sz w:val="20"/>
                <w:szCs w:val="20"/>
              </w:rPr>
              <w:t>For award of AFSC 48R3X, completion of suffix-specific residency acceptable to the Surgeon General and completion of Mission Qualification Training (MQT) as a 48R1X duty AFSC while performing the work typical of a base level flight surgeon and designated Fully Mission Capable (FMC) IAW AFI 48-149 as outlined in MQT.</w:t>
            </w:r>
          </w:p>
          <w:p w14:paraId="67FD00D8" w14:textId="4904E186" w:rsidR="004B18BA" w:rsidRDefault="005F0A99" w:rsidP="00725807">
            <w:pPr>
              <w:autoSpaceDE w:val="0"/>
              <w:autoSpaceDN w:val="0"/>
              <w:adjustRightInd w:val="0"/>
              <w:rPr>
                <w:rFonts w:ascii="CIDFont+F1" w:eastAsia="CIDFont+F1" w:cs="CIDFont+F1"/>
                <w:sz w:val="20"/>
                <w:szCs w:val="20"/>
              </w:rPr>
            </w:pPr>
            <w:r w:rsidRPr="005F0A99">
              <w:rPr>
                <w:rFonts w:ascii="Times New Roman" w:hAnsi="Times New Roman" w:cs="Times New Roman"/>
                <w:b/>
                <w:sz w:val="28"/>
                <w:u w:val="single"/>
              </w:rPr>
              <w:t>Other</w:t>
            </w:r>
            <w:r>
              <w:rPr>
                <w:rFonts w:ascii="Times New Roman" w:hAnsi="Times New Roman" w:cs="Times New Roman"/>
                <w:b/>
                <w:sz w:val="28"/>
                <w:u w:val="single"/>
              </w:rPr>
              <w:t>:</w:t>
            </w:r>
            <w:r w:rsidR="00C949C1">
              <w:rPr>
                <w:rFonts w:ascii="Times New Roman" w:hAnsi="Times New Roman" w:cs="Times New Roman"/>
                <w:b/>
                <w:sz w:val="28"/>
              </w:rPr>
              <w:t xml:space="preserve"> </w:t>
            </w:r>
            <w:r w:rsidR="004B18BA">
              <w:rPr>
                <w:rFonts w:ascii="CIDFont+F1" w:eastAsia="CIDFont+F1" w:cs="CIDFont+F1"/>
                <w:sz w:val="20"/>
                <w:szCs w:val="20"/>
              </w:rPr>
              <w:t xml:space="preserve">For entry, </w:t>
            </w:r>
            <w:proofErr w:type="gramStart"/>
            <w:r w:rsidR="004B18BA">
              <w:rPr>
                <w:rFonts w:ascii="CIDFont+F1" w:eastAsia="CIDFont+F1" w:cs="CIDFont+F1"/>
                <w:sz w:val="20"/>
                <w:szCs w:val="20"/>
              </w:rPr>
              <w:t>award</w:t>
            </w:r>
            <w:proofErr w:type="gramEnd"/>
            <w:r w:rsidR="004B18BA">
              <w:rPr>
                <w:rFonts w:ascii="CIDFont+F1" w:eastAsia="CIDFont+F1" w:cs="CIDFont+F1"/>
                <w:sz w:val="20"/>
                <w:szCs w:val="20"/>
              </w:rPr>
              <w:t xml:space="preserve"> and retention of these AFSCs, the following are mandatory.</w:t>
            </w:r>
          </w:p>
          <w:p w14:paraId="1B17D8E8" w14:textId="5B089FA0" w:rsid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 xml:space="preserve">-Initial physical qualification for aircrew duty according to AFI 48-123, </w:t>
            </w:r>
            <w:r>
              <w:rPr>
                <w:rFonts w:ascii="CIDFont+F4" w:eastAsia="CIDFont+F1" w:hAnsi="CIDFont+F4" w:cs="CIDFont+F4"/>
                <w:sz w:val="20"/>
                <w:szCs w:val="20"/>
              </w:rPr>
              <w:t>Medical Examinations and Standards</w:t>
            </w:r>
            <w:r>
              <w:rPr>
                <w:rFonts w:ascii="CIDFont+F1" w:eastAsia="CIDFont+F1" w:cs="CIDFont+F1"/>
                <w:sz w:val="20"/>
                <w:szCs w:val="20"/>
              </w:rPr>
              <w:t>, certified initial flying Class II flight surgeon physical exam is required for entry into the career field.</w:t>
            </w:r>
          </w:p>
          <w:p w14:paraId="11DD9926" w14:textId="4F6C2DE4" w:rsidR="00725807" w:rsidRP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 xml:space="preserve">-Possess an aeronautical rating of Flight Surgeon, Senior Flight Surgeon, or Chief Flight Surgeon as outlined in AFMAN 11-402, </w:t>
            </w:r>
            <w:r>
              <w:rPr>
                <w:rFonts w:ascii="CIDFont+F4" w:eastAsia="CIDFont+F1" w:hAnsi="CIDFont+F4" w:cs="CIDFont+F4"/>
                <w:sz w:val="20"/>
                <w:szCs w:val="20"/>
              </w:rPr>
              <w:t>Aviation and Parachutist Service, Aeronautical Ratings and Aviation Badges.</w:t>
            </w:r>
          </w:p>
          <w:p w14:paraId="7D48FCF9" w14:textId="00FE717D" w:rsid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-MTF/SGP certification and MAJCOM/SGP approval.</w:t>
            </w:r>
          </w:p>
          <w:p w14:paraId="3A871B9F" w14:textId="2090D53B" w:rsidR="00725807" w:rsidRDefault="00725807" w:rsidP="00725807">
            <w:pPr>
              <w:autoSpaceDE w:val="0"/>
              <w:autoSpaceDN w:val="0"/>
              <w:adjustRightInd w:val="0"/>
              <w:rPr>
                <w:rFonts w:ascii="CIDFont+F1" w:eastAsia="CIDFont+F1" w:cs="CIDFont+F1"/>
                <w:sz w:val="20"/>
                <w:szCs w:val="20"/>
              </w:rPr>
            </w:pPr>
            <w:r>
              <w:rPr>
                <w:rFonts w:ascii="CIDFont+F1" w:eastAsia="CIDFont+F1" w:cs="CIDFont+F1"/>
                <w:sz w:val="20"/>
                <w:szCs w:val="20"/>
              </w:rPr>
              <w:t xml:space="preserve">-Must obtain and maintain clinical privileges IAW AFI 44-119, </w:t>
            </w:r>
            <w:r>
              <w:rPr>
                <w:rFonts w:ascii="CIDFont+F4" w:eastAsia="CIDFont+F1" w:hAnsi="CIDFont+F4" w:cs="CIDFont+F4"/>
                <w:sz w:val="20"/>
                <w:szCs w:val="20"/>
              </w:rPr>
              <w:t xml:space="preserve">Medical Quality Operations </w:t>
            </w:r>
            <w:r>
              <w:rPr>
                <w:rFonts w:ascii="CIDFont+F1" w:eastAsia="CIDFont+F1" w:cs="CIDFont+F1"/>
                <w:sz w:val="20"/>
                <w:szCs w:val="20"/>
              </w:rPr>
              <w:t>(or be immediately eligible for said</w:t>
            </w:r>
            <w:r w:rsidR="00CC0D1B">
              <w:rPr>
                <w:rFonts w:ascii="CIDFont+F1" w:eastAsia="CIDFont+F1" w:cs="CIDFont+F1"/>
                <w:sz w:val="20"/>
                <w:szCs w:val="20"/>
              </w:rPr>
              <w:t xml:space="preserve"> </w:t>
            </w:r>
            <w:r>
              <w:rPr>
                <w:rFonts w:ascii="CIDFont+F1" w:eastAsia="CIDFont+F1" w:cs="CIDFont+F1"/>
                <w:sz w:val="20"/>
                <w:szCs w:val="20"/>
              </w:rPr>
              <w:t>privileges if assigned to a non-clinical positions).</w:t>
            </w:r>
          </w:p>
          <w:p w14:paraId="6C3B661F" w14:textId="1FE6DBCD" w:rsidR="00725807" w:rsidRDefault="00CC0D1B" w:rsidP="00725807">
            <w:pPr>
              <w:autoSpaceDE w:val="0"/>
              <w:autoSpaceDN w:val="0"/>
              <w:adjustRightInd w:val="0"/>
              <w:rPr>
                <w:rFonts w:ascii="CIDFont+F1" w:eastAsia="CIDFont+F1" w:cs="CIDFont+F1"/>
                <w:sz w:val="20"/>
                <w:szCs w:val="20"/>
              </w:rPr>
            </w:pPr>
            <w:r>
              <w:rPr>
                <w:rFonts w:ascii="CIDFont+F1" w:eastAsia="CIDFont+F1" w:cs="CIDFont+F1"/>
                <w:sz w:val="20"/>
                <w:szCs w:val="20"/>
              </w:rPr>
              <w:t>-</w:t>
            </w:r>
            <w:r w:rsidR="00725807">
              <w:rPr>
                <w:rFonts w:ascii="CIDFont+F1" w:eastAsia="CIDFont+F1" w:cs="CIDFont+F1"/>
                <w:sz w:val="20"/>
                <w:szCs w:val="20"/>
              </w:rPr>
              <w:t>A state license to practice medicine.</w:t>
            </w:r>
          </w:p>
          <w:p w14:paraId="7A0FB001" w14:textId="3447C3C0" w:rsidR="00C949C1" w:rsidRPr="00CC0D1B" w:rsidRDefault="00CC0D1B" w:rsidP="00725807">
            <w:pPr>
              <w:autoSpaceDE w:val="0"/>
              <w:autoSpaceDN w:val="0"/>
              <w:adjustRightInd w:val="0"/>
              <w:rPr>
                <w:rFonts w:ascii="CIDFont+F1" w:eastAsia="CIDFont+F1" w:cs="CIDFont+F1"/>
                <w:sz w:val="20"/>
                <w:szCs w:val="20"/>
              </w:rPr>
            </w:pPr>
            <w:r>
              <w:rPr>
                <w:rFonts w:ascii="CIDFont+F1" w:eastAsia="CIDFont+F1" w:cs="CIDFont+F1"/>
                <w:sz w:val="20"/>
                <w:szCs w:val="20"/>
              </w:rPr>
              <w:t>-</w:t>
            </w:r>
            <w:r w:rsidR="00725807">
              <w:rPr>
                <w:rFonts w:ascii="CIDFont+F1" w:eastAsia="CIDFont+F1" w:cs="CIDFont+F1"/>
                <w:sz w:val="20"/>
                <w:szCs w:val="20"/>
              </w:rPr>
              <w:t>Retention. For retention of AFSCs 48R3/4, must not have a revocation of privileges or permanent and substantial reduction,</w:t>
            </w:r>
            <w:r>
              <w:rPr>
                <w:rFonts w:ascii="CIDFont+F1" w:eastAsia="CIDFont+F1" w:cs="CIDFont+F1"/>
                <w:sz w:val="20"/>
                <w:szCs w:val="20"/>
              </w:rPr>
              <w:t xml:space="preserve"> </w:t>
            </w:r>
            <w:r w:rsidR="00725807">
              <w:rPr>
                <w:rFonts w:ascii="CIDFont+F1" w:eastAsia="CIDFont+F1" w:cs="CIDFont+F1"/>
                <w:sz w:val="20"/>
                <w:szCs w:val="20"/>
              </w:rPr>
              <w:t>restriction, or denial of privileges IAW AFI 44-119. Members may be disqualified from flying duties (DNIF or disqualified from</w:t>
            </w:r>
            <w:r>
              <w:rPr>
                <w:rFonts w:ascii="CIDFont+F1" w:eastAsia="CIDFont+F1" w:cs="CIDFont+F1"/>
                <w:sz w:val="20"/>
                <w:szCs w:val="20"/>
              </w:rPr>
              <w:t xml:space="preserve"> </w:t>
            </w:r>
            <w:r w:rsidR="00725807">
              <w:rPr>
                <w:rFonts w:ascii="CIDFont+F1" w:eastAsia="CIDFont+F1" w:cs="CIDFont+F1"/>
                <w:sz w:val="20"/>
                <w:szCs w:val="20"/>
              </w:rPr>
              <w:t>flying)</w:t>
            </w:r>
            <w:r>
              <w:rPr>
                <w:rFonts w:ascii="CIDFont+F1" w:eastAsia="CIDFont+F1" w:cs="CIDFont+F1"/>
                <w:sz w:val="20"/>
                <w:szCs w:val="20"/>
              </w:rPr>
              <w:t xml:space="preserve"> </w:t>
            </w:r>
            <w:r w:rsidR="00725807">
              <w:rPr>
                <w:rFonts w:ascii="CIDFont+F1" w:eastAsia="CIDFont+F1" w:cs="CIDFont+F1"/>
                <w:sz w:val="20"/>
                <w:szCs w:val="20"/>
              </w:rPr>
              <w:t>and maintain their AFSC and clinical privileges to practice within 48R1/3/4 as long they maintain unrestricted privileges to practice as</w:t>
            </w:r>
            <w:r>
              <w:rPr>
                <w:rFonts w:ascii="CIDFont+F1" w:eastAsia="CIDFont+F1" w:cs="CIDFont+F1"/>
                <w:sz w:val="20"/>
                <w:szCs w:val="20"/>
              </w:rPr>
              <w:t xml:space="preserve"> </w:t>
            </w:r>
            <w:r w:rsidR="00725807">
              <w:rPr>
                <w:rFonts w:ascii="CIDFont+F1" w:eastAsia="CIDFont+F1" w:cs="CIDFont+F1"/>
                <w:sz w:val="20"/>
                <w:szCs w:val="20"/>
              </w:rPr>
              <w:t>an independent provider. Those permanently disqualified from flying duties may not be assigned to a squadron medical element (SME)</w:t>
            </w:r>
            <w:r>
              <w:rPr>
                <w:rFonts w:ascii="CIDFont+F1" w:eastAsia="CIDFont+F1" w:cs="CIDFont+F1"/>
                <w:sz w:val="20"/>
                <w:szCs w:val="20"/>
              </w:rPr>
              <w:t xml:space="preserve"> </w:t>
            </w:r>
            <w:r w:rsidR="00725807">
              <w:rPr>
                <w:rFonts w:ascii="CIDFont+F1" w:eastAsia="CIDFont+F1" w:cs="CIDFont+F1"/>
                <w:sz w:val="20"/>
                <w:szCs w:val="20"/>
              </w:rPr>
              <w:t>billet.</w:t>
            </w:r>
          </w:p>
        </w:tc>
      </w:tr>
      <w:tr w:rsidR="005F0A99" w:rsidRPr="005F0A99" w14:paraId="5BFDFE3C" w14:textId="77777777" w:rsidTr="005F0A99">
        <w:tc>
          <w:tcPr>
            <w:tcW w:w="9350" w:type="dxa"/>
          </w:tcPr>
          <w:p w14:paraId="1CDD154A" w14:textId="0BA0ACBA" w:rsidR="005F0A99" w:rsidRPr="00EE5B8E" w:rsidRDefault="005F0A99" w:rsidP="00EE5B8E">
            <w:pPr>
              <w:jc w:val="center"/>
              <w:rPr>
                <w:rFonts w:ascii="Times New Roman" w:hAnsi="Times New Roman" w:cs="Times New Roman"/>
                <w:b/>
                <w:sz w:val="28"/>
                <w:u w:val="single"/>
              </w:rPr>
            </w:pPr>
            <w:r w:rsidRPr="00EE5B8E">
              <w:rPr>
                <w:rFonts w:ascii="Times New Roman" w:hAnsi="Times New Roman" w:cs="Times New Roman"/>
                <w:b/>
                <w:sz w:val="28"/>
                <w:u w:val="single"/>
              </w:rPr>
              <w:lastRenderedPageBreak/>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77777777"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w:t>
            </w:r>
            <w:proofErr w:type="gramStart"/>
            <w:r w:rsidRPr="002E2F7A">
              <w:rPr>
                <w:sz w:val="22"/>
                <w:szCs w:val="22"/>
              </w:rPr>
              <w:t>LOR</w:t>
            </w:r>
            <w:proofErr w:type="gramEnd"/>
            <w:r w:rsidRPr="002E2F7A">
              <w:rPr>
                <w:sz w:val="22"/>
                <w:szCs w:val="22"/>
              </w:rPr>
              <w:t xml:space="preserve"> or Article 15); or </w:t>
            </w:r>
          </w:p>
          <w:p w14:paraId="2F80B749" w14:textId="69C2AD44" w:rsidR="005F0A99" w:rsidRPr="002E2F7A" w:rsidRDefault="005F0A99" w:rsidP="002E2F7A">
            <w:pPr>
              <w:pStyle w:val="Default"/>
              <w:numPr>
                <w:ilvl w:val="0"/>
                <w:numId w:val="2"/>
              </w:numPr>
              <w:rPr>
                <w:sz w:val="22"/>
                <w:szCs w:val="22"/>
              </w:rPr>
            </w:pPr>
            <w:r w:rsidRPr="002E2F7A">
              <w:rPr>
                <w:sz w:val="22"/>
                <w:szCs w:val="22"/>
              </w:rPr>
              <w:t xml:space="preserve">Taking or failing to </w:t>
            </w:r>
            <w:r w:rsidR="00986993" w:rsidRPr="002E2F7A">
              <w:rPr>
                <w:sz w:val="22"/>
                <w:szCs w:val="22"/>
              </w:rPr>
              <w:t>act</w:t>
            </w:r>
            <w:r w:rsidRPr="002E2F7A">
              <w:rPr>
                <w:sz w:val="22"/>
                <w:szCs w:val="22"/>
              </w:rPr>
              <w:t xml:space="preserve">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6CA57850" w:rsidR="005F0A99" w:rsidRPr="002E2F7A" w:rsidRDefault="005F0A99" w:rsidP="002E2F7A">
            <w:pPr>
              <w:pStyle w:val="Default"/>
              <w:numPr>
                <w:ilvl w:val="0"/>
                <w:numId w:val="2"/>
              </w:numPr>
              <w:rPr>
                <w:sz w:val="22"/>
                <w:szCs w:val="22"/>
              </w:rPr>
            </w:pPr>
            <w:r w:rsidRPr="002E2F7A">
              <w:rPr>
                <w:sz w:val="22"/>
                <w:szCs w:val="22"/>
              </w:rPr>
              <w:t xml:space="preserve">No convictions by a </w:t>
            </w:r>
            <w:r w:rsidR="00986993" w:rsidRPr="002E2F7A">
              <w:rPr>
                <w:sz w:val="22"/>
                <w:szCs w:val="22"/>
              </w:rPr>
              <w:t xml:space="preserve">general, </w:t>
            </w:r>
            <w:r w:rsidR="00EE5B8E" w:rsidRPr="002E2F7A">
              <w:rPr>
                <w:sz w:val="22"/>
                <w:szCs w:val="22"/>
              </w:rPr>
              <w:t>special,</w:t>
            </w:r>
            <w:r w:rsidR="00986993" w:rsidRPr="002E2F7A">
              <w:rPr>
                <w:sz w:val="22"/>
                <w:szCs w:val="22"/>
              </w:rPr>
              <w:t xml:space="preserve">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77D77974" w:rsidR="005F0A99" w:rsidRPr="002E2F7A" w:rsidRDefault="005F0A99" w:rsidP="002E2F7A">
            <w:pPr>
              <w:pStyle w:val="Default"/>
              <w:numPr>
                <w:ilvl w:val="0"/>
                <w:numId w:val="2"/>
              </w:numPr>
              <w:rPr>
                <w:sz w:val="22"/>
                <w:szCs w:val="22"/>
              </w:rPr>
            </w:pPr>
            <w:r w:rsidRPr="002E2F7A">
              <w:rPr>
                <w:sz w:val="22"/>
                <w:szCs w:val="22"/>
              </w:rPr>
              <w:t xml:space="preserve">Never been convicted by a civilian court of a Category 1, 2, or 3 </w:t>
            </w:r>
            <w:r w:rsidR="00986993"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0FF59912" w14:textId="20B1FE3A" w:rsidR="005F0A99" w:rsidRPr="00DE3A60" w:rsidRDefault="005F0A99" w:rsidP="00DE3A60">
            <w:pPr>
              <w:pStyle w:val="Default"/>
              <w:numPr>
                <w:ilvl w:val="0"/>
                <w:numId w:val="2"/>
              </w:numPr>
              <w:rPr>
                <w:rFonts w:eastAsia="TimesNewRomanPSMT"/>
                <w:sz w:val="22"/>
                <w:szCs w:val="22"/>
              </w:rPr>
            </w:pPr>
            <w:r w:rsidRPr="002E2F7A">
              <w:rPr>
                <w:rFonts w:eastAsia="TimesNewRomanPSMT"/>
                <w:sz w:val="22"/>
                <w:szCs w:val="22"/>
              </w:rPr>
              <w:lastRenderedPageBreak/>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tc>
      </w:tr>
      <w:tr w:rsidR="005F0A99" w:rsidRPr="005F0A99" w14:paraId="0A176A8D" w14:textId="77777777" w:rsidTr="005F0A99">
        <w:tc>
          <w:tcPr>
            <w:tcW w:w="9350" w:type="dxa"/>
          </w:tcPr>
          <w:p w14:paraId="3A0F3491" w14:textId="6E31B820"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lastRenderedPageBreak/>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gridCol w:w="4165"/>
            </w:tblGrid>
            <w:tr w:rsidR="004955CB" w14:paraId="37D1D4A0" w14:textId="77777777" w:rsidTr="00DE3A60">
              <w:trPr>
                <w:jc w:val="center"/>
              </w:trPr>
              <w:tc>
                <w:tcPr>
                  <w:tcW w:w="4239" w:type="dxa"/>
                </w:tcPr>
                <w:p w14:paraId="475B6E92" w14:textId="23990622"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c>
                <w:tcPr>
                  <w:tcW w:w="4165" w:type="dxa"/>
                </w:tcPr>
                <w:p w14:paraId="19ADB3A7" w14:textId="6EF5E5F7"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Civilian</w:t>
                  </w:r>
                </w:p>
              </w:tc>
            </w:tr>
            <w:tr w:rsidR="004955CB" w:rsidRPr="00123945" w14:paraId="132B5E0C" w14:textId="77777777" w:rsidTr="00DE3A60">
              <w:trPr>
                <w:jc w:val="center"/>
              </w:trPr>
              <w:tc>
                <w:tcPr>
                  <w:tcW w:w="4239" w:type="dxa"/>
                </w:tcPr>
                <w:p w14:paraId="07D6D87E" w14:textId="7277E426"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c>
                <w:tcPr>
                  <w:tcW w:w="4165" w:type="dxa"/>
                </w:tcPr>
                <w:p w14:paraId="583C0F7F" w14:textId="52BD0EF8"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4955CB" w:rsidRPr="00123945" w14:paraId="61891D05" w14:textId="77777777" w:rsidTr="00DE3A60">
              <w:trPr>
                <w:jc w:val="center"/>
              </w:trPr>
              <w:tc>
                <w:tcPr>
                  <w:tcW w:w="4239" w:type="dxa"/>
                </w:tcPr>
                <w:p w14:paraId="01C39CD9" w14:textId="6CE3157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c>
                <w:tcPr>
                  <w:tcW w:w="4165" w:type="dxa"/>
                </w:tcPr>
                <w:p w14:paraId="4864E3EF" w14:textId="4DAD7AF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4955CB" w:rsidRPr="00123945" w14:paraId="093B43C9" w14:textId="77777777" w:rsidTr="00DE3A60">
              <w:trPr>
                <w:jc w:val="center"/>
              </w:trPr>
              <w:tc>
                <w:tcPr>
                  <w:tcW w:w="4239" w:type="dxa"/>
                </w:tcPr>
                <w:p w14:paraId="642B2773" w14:textId="16E1C6DE"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c>
                <w:tcPr>
                  <w:tcW w:w="4165" w:type="dxa"/>
                </w:tcPr>
                <w:p w14:paraId="6695506D" w14:textId="020770D0" w:rsidR="004955CB" w:rsidRPr="00123945" w:rsidRDefault="00986993" w:rsidP="004955CB">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DD Form 2807-2 (Self Reporting)</w:t>
                  </w:r>
                </w:p>
              </w:tc>
            </w:tr>
            <w:tr w:rsidR="00EE5B8E" w:rsidRPr="00123945" w14:paraId="167F248D" w14:textId="77777777" w:rsidTr="00DE3A60">
              <w:trPr>
                <w:jc w:val="center"/>
              </w:trPr>
              <w:tc>
                <w:tcPr>
                  <w:tcW w:w="4239" w:type="dxa"/>
                </w:tcPr>
                <w:p w14:paraId="41A435DC" w14:textId="727F9089" w:rsidR="00EE5B8E" w:rsidRPr="00123945" w:rsidRDefault="00EE5B8E" w:rsidP="00EE5B8E">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Last 3 EPRs</w:t>
                  </w:r>
                  <w:r>
                    <w:rPr>
                      <w:rFonts w:ascii="Times New Roman" w:hAnsi="Times New Roman" w:cs="Times New Roman"/>
                      <w:bCs/>
                      <w:sz w:val="24"/>
                      <w:szCs w:val="24"/>
                    </w:rPr>
                    <w:t xml:space="preserve"> (Evaluation Reports)</w:t>
                  </w:r>
                </w:p>
              </w:tc>
              <w:tc>
                <w:tcPr>
                  <w:tcW w:w="4165" w:type="dxa"/>
                </w:tcPr>
                <w:p w14:paraId="53B30978" w14:textId="16A4BFE9"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AFOQT Scores</w:t>
                  </w:r>
                </w:p>
              </w:tc>
            </w:tr>
            <w:tr w:rsidR="00EE5B8E" w:rsidRPr="00123945" w14:paraId="4E0AC324" w14:textId="77777777" w:rsidTr="00DE3A60">
              <w:trPr>
                <w:jc w:val="center"/>
              </w:trPr>
              <w:tc>
                <w:tcPr>
                  <w:tcW w:w="4239" w:type="dxa"/>
                </w:tcPr>
                <w:p w14:paraId="26A9F48A" w14:textId="2114F4EA"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DD Form 2807-2 (Self Reporting) </w:t>
                  </w:r>
                </w:p>
              </w:tc>
              <w:tc>
                <w:tcPr>
                  <w:tcW w:w="4165" w:type="dxa"/>
                </w:tcPr>
                <w:p w14:paraId="61171844" w14:textId="202A8FC7"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AF Form 24</w:t>
                  </w:r>
                </w:p>
              </w:tc>
            </w:tr>
            <w:tr w:rsidR="00EE5B8E" w:rsidRPr="00123945" w14:paraId="3B5321F0" w14:textId="77777777" w:rsidTr="00DE3A60">
              <w:trPr>
                <w:jc w:val="center"/>
              </w:trPr>
              <w:tc>
                <w:tcPr>
                  <w:tcW w:w="4239" w:type="dxa"/>
                </w:tcPr>
                <w:p w14:paraId="0DED1F23" w14:textId="78460D5C"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vMPF RIP / ERB/ Record Print Out</w:t>
                  </w:r>
                </w:p>
              </w:tc>
              <w:tc>
                <w:tcPr>
                  <w:tcW w:w="4165" w:type="dxa"/>
                </w:tcPr>
                <w:p w14:paraId="5CD03A22" w14:textId="6BED19E6" w:rsidR="00EE5B8E" w:rsidRPr="00123945" w:rsidRDefault="00EE5B8E" w:rsidP="00EE5B8E">
                  <w:pPr>
                    <w:pStyle w:val="ListParagraph"/>
                    <w:ind w:left="0"/>
                    <w:jc w:val="center"/>
                    <w:rPr>
                      <w:rFonts w:ascii="Times New Roman" w:hAnsi="Times New Roman" w:cs="Times New Roman"/>
                      <w:bCs/>
                      <w:sz w:val="24"/>
                      <w:szCs w:val="24"/>
                    </w:rPr>
                  </w:pPr>
                </w:p>
              </w:tc>
            </w:tr>
            <w:tr w:rsidR="00EE5B8E" w:rsidRPr="00123945" w14:paraId="37CDF935" w14:textId="6CB856EC" w:rsidTr="00EE5B8E">
              <w:trPr>
                <w:jc w:val="center"/>
              </w:trPr>
              <w:tc>
                <w:tcPr>
                  <w:tcW w:w="4239" w:type="dxa"/>
                </w:tcPr>
                <w:p w14:paraId="4CDC3AF0" w14:textId="2EC19B80"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c>
                <w:tcPr>
                  <w:tcW w:w="4165" w:type="dxa"/>
                </w:tcPr>
                <w:p w14:paraId="76EB8F45" w14:textId="698FDC7D" w:rsidR="00EE5B8E" w:rsidRPr="00123945" w:rsidRDefault="00EE5B8E" w:rsidP="00EE5B8E"/>
              </w:tc>
            </w:tr>
            <w:tr w:rsidR="00EE5B8E" w:rsidRPr="00123945" w14:paraId="70A13C7F" w14:textId="628C049B" w:rsidTr="00EE5B8E">
              <w:trPr>
                <w:jc w:val="center"/>
              </w:trPr>
              <w:tc>
                <w:tcPr>
                  <w:tcW w:w="4239" w:type="dxa"/>
                </w:tcPr>
                <w:p w14:paraId="0455F4E9" w14:textId="0B0B4CF2" w:rsidR="00EE5B8E"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AFOQT Scores</w:t>
                  </w:r>
                </w:p>
              </w:tc>
              <w:tc>
                <w:tcPr>
                  <w:tcW w:w="4165" w:type="dxa"/>
                </w:tcPr>
                <w:p w14:paraId="309988AC" w14:textId="4F0A8AEA" w:rsidR="00EE5B8E" w:rsidRPr="00123945" w:rsidRDefault="00EE5B8E" w:rsidP="00EE5B8E"/>
              </w:tc>
            </w:tr>
            <w:tr w:rsidR="00EE5B8E" w:rsidRPr="00123945" w14:paraId="2EFDC0BB" w14:textId="1AD56336" w:rsidTr="00EE5B8E">
              <w:trPr>
                <w:jc w:val="center"/>
              </w:trPr>
              <w:tc>
                <w:tcPr>
                  <w:tcW w:w="4239" w:type="dxa"/>
                </w:tcPr>
                <w:p w14:paraId="4F669F65" w14:textId="351113FD" w:rsidR="00EE5B8E"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 Form 24</w:t>
                  </w:r>
                </w:p>
              </w:tc>
              <w:tc>
                <w:tcPr>
                  <w:tcW w:w="4165" w:type="dxa"/>
                </w:tcPr>
                <w:p w14:paraId="074BC000" w14:textId="67BA0064" w:rsidR="00EE5B8E" w:rsidRPr="00123945" w:rsidRDefault="00EE5B8E" w:rsidP="00EE5B8E"/>
              </w:tc>
            </w:tr>
            <w:tr w:rsidR="00EE5B8E" w:rsidRPr="00123945" w14:paraId="4A82E254" w14:textId="77777777" w:rsidTr="00DE3A60">
              <w:trPr>
                <w:jc w:val="center"/>
              </w:trPr>
              <w:tc>
                <w:tcPr>
                  <w:tcW w:w="4239" w:type="dxa"/>
                </w:tcPr>
                <w:p w14:paraId="1A82CA11" w14:textId="2E1EDAD8" w:rsidR="00EE5B8E" w:rsidRPr="00123945"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Separation Order/Final DD214/NGB22</w:t>
                  </w:r>
                </w:p>
              </w:tc>
              <w:tc>
                <w:tcPr>
                  <w:tcW w:w="4165" w:type="dxa"/>
                </w:tcPr>
                <w:p w14:paraId="268EACAB" w14:textId="65ADEB98" w:rsidR="00EE5B8E" w:rsidRPr="00123945" w:rsidRDefault="00EE5B8E" w:rsidP="00EE5B8E">
                  <w:pPr>
                    <w:pStyle w:val="ListParagraph"/>
                    <w:ind w:left="0"/>
                    <w:jc w:val="center"/>
                    <w:rPr>
                      <w:rFonts w:ascii="Times New Roman" w:hAnsi="Times New Roman" w:cs="Times New Roman"/>
                      <w:bCs/>
                      <w:sz w:val="24"/>
                      <w:szCs w:val="24"/>
                    </w:rPr>
                  </w:pP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w:t>
            </w:r>
            <w:proofErr w:type="gramStart"/>
            <w:r w:rsidR="0068459A">
              <w:rPr>
                <w:rFonts w:ascii="Times New Roman" w:hAnsi="Times New Roman" w:cs="Times New Roman"/>
                <w:b/>
                <w:sz w:val="24"/>
                <w:u w:val="single"/>
              </w:rPr>
              <w:t>accepted</w:t>
            </w:r>
            <w:proofErr w:type="gramEnd"/>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1C7686A0" w14:textId="6E383668" w:rsidR="002E2F7A" w:rsidRPr="0068459A" w:rsidRDefault="002E2F7A" w:rsidP="00745BF5">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0" w:history="1">
              <w:r w:rsidR="00745BF5" w:rsidRPr="00BF6071">
                <w:rPr>
                  <w:rStyle w:val="Hyperlink"/>
                </w:rPr>
                <w:t>109aw.fss.customerservice@us.af.mil</w:t>
              </w:r>
            </w:hyperlink>
            <w:r w:rsidR="00745BF5">
              <w:t xml:space="preserve"> </w:t>
            </w:r>
            <w:r w:rsidRPr="002E2F7A">
              <w:rPr>
                <w:rFonts w:ascii="Times New Roman" w:hAnsi="Times New Roman" w:cs="Times New Roman"/>
                <w:b/>
                <w:sz w:val="24"/>
                <w:szCs w:val="24"/>
              </w:rPr>
              <w:t xml:space="preserve"> 518-344-2</w:t>
            </w:r>
            <w:r w:rsidR="00745BF5">
              <w:rPr>
                <w:rFonts w:ascii="Times New Roman" w:hAnsi="Times New Roman" w:cs="Times New Roman"/>
                <w:b/>
                <w:sz w:val="24"/>
                <w:szCs w:val="24"/>
              </w:rPr>
              <w:t>436</w:t>
            </w:r>
          </w:p>
        </w:tc>
      </w:tr>
    </w:tbl>
    <w:p w14:paraId="3F5F6AD1" w14:textId="77777777" w:rsidR="005F0A99" w:rsidRDefault="005F0A99"/>
    <w:sectPr w:rsidR="005F0A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F24D" w14:textId="77777777" w:rsidR="00962349" w:rsidRDefault="00962349" w:rsidP="005F0A99">
      <w:pPr>
        <w:spacing w:after="0" w:line="240" w:lineRule="auto"/>
      </w:pPr>
      <w:r>
        <w:separator/>
      </w:r>
    </w:p>
  </w:endnote>
  <w:endnote w:type="continuationSeparator" w:id="0">
    <w:p w14:paraId="0A9FFE75" w14:textId="77777777" w:rsidR="00962349" w:rsidRDefault="00962349"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397F" w14:textId="77777777" w:rsidR="00962349" w:rsidRDefault="00962349" w:rsidP="005F0A99">
      <w:pPr>
        <w:spacing w:after="0" w:line="240" w:lineRule="auto"/>
      </w:pPr>
      <w:r>
        <w:separator/>
      </w:r>
    </w:p>
  </w:footnote>
  <w:footnote w:type="continuationSeparator" w:id="0">
    <w:p w14:paraId="0E203879" w14:textId="77777777" w:rsidR="00962349" w:rsidRDefault="00962349"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1"/>
  </w:num>
  <w:num w:numId="2" w16cid:durableId="672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00626"/>
    <w:rsid w:val="00066F90"/>
    <w:rsid w:val="000E5680"/>
    <w:rsid w:val="00123945"/>
    <w:rsid w:val="00144406"/>
    <w:rsid w:val="00174131"/>
    <w:rsid w:val="00211813"/>
    <w:rsid w:val="002C3EC4"/>
    <w:rsid w:val="002E2F7A"/>
    <w:rsid w:val="002F556F"/>
    <w:rsid w:val="00381C44"/>
    <w:rsid w:val="003B1A21"/>
    <w:rsid w:val="003D738A"/>
    <w:rsid w:val="003F173F"/>
    <w:rsid w:val="003F56EF"/>
    <w:rsid w:val="00416F0E"/>
    <w:rsid w:val="00456AD7"/>
    <w:rsid w:val="004955CB"/>
    <w:rsid w:val="004A53D4"/>
    <w:rsid w:val="004B18BA"/>
    <w:rsid w:val="00501DF7"/>
    <w:rsid w:val="00573850"/>
    <w:rsid w:val="00580A85"/>
    <w:rsid w:val="005A0DFB"/>
    <w:rsid w:val="005F0A99"/>
    <w:rsid w:val="00601FDD"/>
    <w:rsid w:val="00637C6C"/>
    <w:rsid w:val="0068459A"/>
    <w:rsid w:val="00725807"/>
    <w:rsid w:val="00745BF5"/>
    <w:rsid w:val="007525FB"/>
    <w:rsid w:val="007F336B"/>
    <w:rsid w:val="007F70BE"/>
    <w:rsid w:val="008B2623"/>
    <w:rsid w:val="008C6AA1"/>
    <w:rsid w:val="008F3F0A"/>
    <w:rsid w:val="009301E4"/>
    <w:rsid w:val="00950087"/>
    <w:rsid w:val="0096134C"/>
    <w:rsid w:val="00962349"/>
    <w:rsid w:val="00986993"/>
    <w:rsid w:val="009968FC"/>
    <w:rsid w:val="009A40DC"/>
    <w:rsid w:val="009E54A0"/>
    <w:rsid w:val="009F4B02"/>
    <w:rsid w:val="00A721DE"/>
    <w:rsid w:val="00A82274"/>
    <w:rsid w:val="00AA5545"/>
    <w:rsid w:val="00B56B15"/>
    <w:rsid w:val="00B73F48"/>
    <w:rsid w:val="00B85930"/>
    <w:rsid w:val="00B875C8"/>
    <w:rsid w:val="00B95918"/>
    <w:rsid w:val="00BB766D"/>
    <w:rsid w:val="00C20843"/>
    <w:rsid w:val="00C949C1"/>
    <w:rsid w:val="00CB68D2"/>
    <w:rsid w:val="00CC0D1B"/>
    <w:rsid w:val="00DD4810"/>
    <w:rsid w:val="00DE3A60"/>
    <w:rsid w:val="00E04709"/>
    <w:rsid w:val="00E30DB0"/>
    <w:rsid w:val="00E50720"/>
    <w:rsid w:val="00E815A7"/>
    <w:rsid w:val="00E87BA8"/>
    <w:rsid w:val="00EC681F"/>
    <w:rsid w:val="00EE5B8E"/>
    <w:rsid w:val="00E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 w:type="paragraph" w:styleId="NoSpacing">
    <w:name w:val="No Spacing"/>
    <w:uiPriority w:val="1"/>
    <w:qFormat/>
    <w:rsid w:val="002F5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109aw.fss.customerservice@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2.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1446</Words>
  <Characters>8244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MORIZIO, LUKE A MSgt US Air Force ANG 109 FSS/HRSM</cp:lastModifiedBy>
  <cp:revision>2</cp:revision>
  <dcterms:created xsi:type="dcterms:W3CDTF">2023-04-03T13:02:00Z</dcterms:created>
  <dcterms:modified xsi:type="dcterms:W3CDTF">2023-04-03T13:02:00Z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