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249B7AF4"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w:t>
            </w:r>
            <w:r w:rsidR="005F0CA7">
              <w:rPr>
                <w:rFonts w:ascii="Times New Roman" w:hAnsi="Times New Roman" w:cs="Times New Roman"/>
                <w:b/>
                <w:sz w:val="28"/>
              </w:rPr>
              <w:t>07</w:t>
            </w:r>
            <w:r w:rsidRPr="00214014">
              <w:rPr>
                <w:rFonts w:ascii="Times New Roman" w:hAnsi="Times New Roman" w:cs="Times New Roman"/>
                <w:b/>
                <w:sz w:val="28"/>
              </w:rPr>
              <w:t>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D64796A" w:rsid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9910</w:t>
            </w:r>
            <w:r w:rsidR="00214014">
              <w:rPr>
                <w:rFonts w:ascii="Times New Roman" w:hAnsi="Times New Roman" w:cs="Times New Roman"/>
                <w:b/>
                <w:sz w:val="28"/>
              </w:rPr>
              <w:t xml:space="preserve"> </w:t>
            </w:r>
            <w:r>
              <w:rPr>
                <w:rFonts w:ascii="Times New Roman" w:hAnsi="Times New Roman" w:cs="Times New Roman"/>
                <w:b/>
                <w:sz w:val="28"/>
              </w:rPr>
              <w:t>BLEWETT AVE</w:t>
            </w:r>
          </w:p>
          <w:p w14:paraId="6699E43E" w14:textId="1DACD4A6" w:rsidR="00A02AF1" w:rsidRP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NIAGARA FALLS ARS</w:t>
            </w:r>
            <w:r w:rsidR="00A8161F" w:rsidRPr="00214014">
              <w:rPr>
                <w:rFonts w:ascii="Times New Roman" w:hAnsi="Times New Roman" w:cs="Times New Roman"/>
                <w:b/>
                <w:sz w:val="28"/>
              </w:rPr>
              <w:t xml:space="preserve">, NEW YORK </w:t>
            </w:r>
            <w:r>
              <w:rPr>
                <w:rFonts w:ascii="Times New Roman" w:hAnsi="Times New Roman" w:cs="Times New Roman"/>
                <w:b/>
                <w:sz w:val="28"/>
              </w:rPr>
              <w:t>14304</w:t>
            </w:r>
          </w:p>
        </w:tc>
        <w:tc>
          <w:tcPr>
            <w:tcW w:w="5848" w:type="dxa"/>
          </w:tcPr>
          <w:p w14:paraId="38D60AF2" w14:textId="03E8CDAE"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5F0CA7">
              <w:rPr>
                <w:rFonts w:ascii="Times New Roman" w:hAnsi="Times New Roman" w:cs="Times New Roman"/>
                <w:b/>
                <w:sz w:val="28"/>
              </w:rPr>
              <w:t>NF</w:t>
            </w:r>
            <w:r w:rsidR="001553A7">
              <w:rPr>
                <w:rFonts w:ascii="Times New Roman" w:hAnsi="Times New Roman" w:cs="Times New Roman"/>
                <w:color w:val="FF0000"/>
                <w:sz w:val="24"/>
                <w:szCs w:val="24"/>
              </w:rPr>
              <w:t xml:space="preserve"> </w:t>
            </w:r>
            <w:r w:rsidR="00425812">
              <w:rPr>
                <w:rFonts w:ascii="Times New Roman" w:hAnsi="Times New Roman" w:cs="Times New Roman"/>
                <w:color w:val="FF0000"/>
                <w:sz w:val="24"/>
                <w:szCs w:val="24"/>
              </w:rPr>
              <w:t>24-0001</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1FA90885"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25812">
              <w:rPr>
                <w:rFonts w:ascii="Times New Roman" w:hAnsi="Times New Roman" w:cs="Times New Roman"/>
                <w:b/>
                <w:sz w:val="24"/>
                <w:szCs w:val="24"/>
              </w:rPr>
              <w:t>5 January</w:t>
            </w:r>
            <w:r w:rsidR="005F0CA7">
              <w:rPr>
                <w:rFonts w:ascii="Times New Roman" w:hAnsi="Times New Roman" w:cs="Times New Roman"/>
                <w:b/>
                <w:sz w:val="24"/>
                <w:szCs w:val="24"/>
              </w:rPr>
              <w:t xml:space="preserve"> 202</w:t>
            </w:r>
            <w:r w:rsidR="00425812">
              <w:rPr>
                <w:rFonts w:ascii="Times New Roman" w:hAnsi="Times New Roman" w:cs="Times New Roman"/>
                <w:b/>
                <w:sz w:val="24"/>
                <w:szCs w:val="24"/>
              </w:rPr>
              <w:t>3</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7FBFF32" w:rsidR="00A02AF1" w:rsidRPr="00214014" w:rsidRDefault="00A8161F" w:rsidP="002B1B7D">
            <w:pPr>
              <w:pStyle w:val="TableParagraph"/>
              <w:ind w:left="86"/>
              <w:rPr>
                <w:rFonts w:ascii="Times New Roman" w:hAnsi="Times New Roman" w:cs="Times New Roman"/>
                <w:sz w:val="28"/>
              </w:rPr>
            </w:pPr>
            <w:r w:rsidRPr="00E9454E">
              <w:rPr>
                <w:rFonts w:ascii="Times New Roman" w:hAnsi="Times New Roman" w:cs="Times New Roman"/>
                <w:b/>
                <w:sz w:val="28"/>
              </w:rPr>
              <w:t>UNIT:</w:t>
            </w:r>
            <w:r w:rsidR="00F00C58" w:rsidRPr="00E9454E">
              <w:rPr>
                <w:rFonts w:ascii="Times New Roman" w:hAnsi="Times New Roman" w:cs="Times New Roman"/>
                <w:b/>
                <w:sz w:val="28"/>
              </w:rPr>
              <w:t xml:space="preserve"> </w:t>
            </w:r>
            <w:r w:rsidR="00827885" w:rsidRPr="00E9454E">
              <w:rPr>
                <w:rFonts w:ascii="Times New Roman" w:hAnsi="Times New Roman" w:cs="Times New Roman"/>
                <w:b/>
                <w:sz w:val="28"/>
              </w:rPr>
              <w:t>1</w:t>
            </w:r>
            <w:r w:rsidR="005F0CA7" w:rsidRPr="00E9454E">
              <w:rPr>
                <w:rFonts w:ascii="Times New Roman" w:hAnsi="Times New Roman" w:cs="Times New Roman"/>
                <w:b/>
                <w:sz w:val="28"/>
              </w:rPr>
              <w:t>07</w:t>
            </w:r>
            <w:r w:rsidR="00827885" w:rsidRPr="00E9454E">
              <w:rPr>
                <w:rFonts w:ascii="Times New Roman" w:hAnsi="Times New Roman" w:cs="Times New Roman"/>
                <w:b/>
                <w:sz w:val="28"/>
                <w:vertAlign w:val="superscript"/>
              </w:rPr>
              <w:t>th</w:t>
            </w:r>
            <w:r w:rsidR="00827885" w:rsidRPr="00E9454E">
              <w:rPr>
                <w:rFonts w:ascii="Times New Roman" w:hAnsi="Times New Roman" w:cs="Times New Roman"/>
                <w:b/>
                <w:sz w:val="28"/>
              </w:rPr>
              <w:t xml:space="preserve"> </w:t>
            </w:r>
            <w:r w:rsidR="005F0CA7" w:rsidRPr="00E9454E">
              <w:rPr>
                <w:rFonts w:ascii="Times New Roman" w:hAnsi="Times New Roman" w:cs="Times New Roman"/>
                <w:b/>
                <w:sz w:val="28"/>
              </w:rPr>
              <w:t>ATTACK WING</w:t>
            </w:r>
          </w:p>
        </w:tc>
        <w:tc>
          <w:tcPr>
            <w:tcW w:w="5848" w:type="dxa"/>
            <w:tcBorders>
              <w:right w:val="single" w:sz="12" w:space="0" w:color="000000"/>
            </w:tcBorders>
          </w:tcPr>
          <w:p w14:paraId="600D574E" w14:textId="228FD568" w:rsidR="00D63258" w:rsidRPr="00E9454E" w:rsidRDefault="00A8161F" w:rsidP="00D63258">
            <w:pPr>
              <w:pStyle w:val="TableParagraph"/>
              <w:ind w:left="86"/>
              <w:rPr>
                <w:rFonts w:ascii="Times New Roman" w:hAnsi="Times New Roman" w:cs="Times New Roman"/>
                <w:bCs/>
                <w:sz w:val="28"/>
              </w:rPr>
            </w:pPr>
            <w:r w:rsidRPr="00E9454E">
              <w:rPr>
                <w:rFonts w:ascii="Times New Roman" w:hAnsi="Times New Roman" w:cs="Times New Roman"/>
                <w:b/>
                <w:sz w:val="28"/>
              </w:rPr>
              <w:t>AFSC:</w:t>
            </w:r>
            <w:r w:rsidR="00F00C58" w:rsidRPr="00E9454E">
              <w:rPr>
                <w:rFonts w:ascii="Times New Roman" w:hAnsi="Times New Roman" w:cs="Times New Roman"/>
                <w:b/>
                <w:sz w:val="28"/>
              </w:rPr>
              <w:t xml:space="preserve"> </w:t>
            </w:r>
            <w:r w:rsidR="00456832">
              <w:rPr>
                <w:rFonts w:ascii="Times New Roman" w:hAnsi="Times New Roman" w:cs="Times New Roman"/>
                <w:b/>
                <w:sz w:val="28"/>
              </w:rPr>
              <w:t>3E9X1</w:t>
            </w:r>
          </w:p>
          <w:p w14:paraId="1CEB2C07" w14:textId="68F368BB" w:rsidR="005A4332" w:rsidRPr="00214014" w:rsidRDefault="005F0CA7" w:rsidP="00D63258">
            <w:pPr>
              <w:pStyle w:val="TableParagraph"/>
              <w:ind w:left="86"/>
              <w:rPr>
                <w:rFonts w:ascii="Times New Roman" w:hAnsi="Times New Roman" w:cs="Times New Roman"/>
                <w:sz w:val="28"/>
              </w:rPr>
            </w:pPr>
            <w:r w:rsidRPr="00E9454E">
              <w:rPr>
                <w:rFonts w:ascii="Times New Roman" w:hAnsi="Times New Roman" w:cs="Times New Roman"/>
                <w:b/>
                <w:sz w:val="28"/>
              </w:rPr>
              <w:t xml:space="preserve">MAX </w:t>
            </w:r>
            <w:r w:rsidR="005A4332" w:rsidRPr="00E9454E">
              <w:rPr>
                <w:rFonts w:ascii="Times New Roman" w:hAnsi="Times New Roman" w:cs="Times New Roman"/>
                <w:b/>
                <w:sz w:val="28"/>
              </w:rPr>
              <w:t>RANK:</w:t>
            </w:r>
            <w:r w:rsidR="002B1B7D" w:rsidRPr="00E9454E">
              <w:rPr>
                <w:rFonts w:ascii="Times New Roman" w:hAnsi="Times New Roman" w:cs="Times New Roman"/>
                <w:sz w:val="28"/>
              </w:rPr>
              <w:t xml:space="preserve">  </w:t>
            </w:r>
            <w:r w:rsidR="00425812">
              <w:rPr>
                <w:rFonts w:ascii="Times New Roman" w:hAnsi="Times New Roman" w:cs="Times New Roman"/>
                <w:sz w:val="28"/>
              </w:rPr>
              <w:t>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E9454E">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73F6A185" w14:textId="0E258621" w:rsidR="005F0CA7" w:rsidRPr="00456832" w:rsidRDefault="00456832" w:rsidP="00456832">
            <w:pPr>
              <w:pStyle w:val="TableParagraph"/>
              <w:rPr>
                <w:rFonts w:ascii="Times New Roman" w:hAnsi="Times New Roman" w:cs="Times New Roman"/>
              </w:rPr>
            </w:pPr>
            <w:r>
              <w:rPr>
                <w:rFonts w:ascii="Times New Roman" w:hAnsi="Times New Roman" w:cs="Times New Roman"/>
                <w:sz w:val="28"/>
              </w:rPr>
              <w:t xml:space="preserve"> </w:t>
            </w:r>
            <w:r w:rsidR="0038105A" w:rsidRPr="00456832">
              <w:rPr>
                <w:rFonts w:ascii="Times New Roman" w:hAnsi="Times New Roman" w:cs="Times New Roman"/>
                <w:b/>
                <w:bCs/>
              </w:rPr>
              <w:t>EMERGENCY MANAGEMENT</w:t>
            </w:r>
          </w:p>
        </w:tc>
        <w:tc>
          <w:tcPr>
            <w:tcW w:w="5848" w:type="dxa"/>
          </w:tcPr>
          <w:p w14:paraId="579F641A" w14:textId="1F4CD5D3" w:rsidR="00D95F36" w:rsidRDefault="00A8161F" w:rsidP="00834807">
            <w:pPr>
              <w:pStyle w:val="TableParagraph"/>
              <w:ind w:left="86"/>
              <w:rPr>
                <w:rFonts w:ascii="Times New Roman" w:hAnsi="Times New Roman" w:cs="Times New Roman"/>
                <w:b/>
                <w:color w:val="000000" w:themeColor="text1"/>
                <w:sz w:val="24"/>
                <w:shd w:val="clear" w:color="auto" w:fill="FFC000"/>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p>
          <w:p w14:paraId="5AB77A5B" w14:textId="6F15EDBF" w:rsidR="00E9454E" w:rsidRPr="00E9454E" w:rsidRDefault="00E9454E" w:rsidP="00E9454E">
            <w:pPr>
              <w:pStyle w:val="TableParagraph"/>
              <w:ind w:left="86"/>
              <w:rPr>
                <w:rFonts w:ascii="Times New Roman" w:hAnsi="Times New Roman" w:cs="Times New Roman"/>
                <w:bCs/>
                <w:sz w:val="24"/>
                <w:szCs w:val="24"/>
              </w:rPr>
            </w:pPr>
            <w:r w:rsidRPr="00E9454E">
              <w:rPr>
                <w:rFonts w:ascii="Times New Roman" w:hAnsi="Times New Roman" w:cs="Times New Roman"/>
                <w:bCs/>
                <w:sz w:val="24"/>
                <w:szCs w:val="24"/>
              </w:rPr>
              <w:t>Nationwide</w:t>
            </w:r>
          </w:p>
          <w:p w14:paraId="02004077" w14:textId="01349EA9" w:rsidR="00E9454E" w:rsidRPr="00E9454E" w:rsidRDefault="00FC342C" w:rsidP="00E9454E">
            <w:pPr>
              <w:pStyle w:val="TableParagraph"/>
              <w:ind w:left="86"/>
              <w:rPr>
                <w:rFonts w:ascii="Times New Roman" w:hAnsi="Times New Roman" w:cs="Times New Roman"/>
                <w:sz w:val="24"/>
                <w:szCs w:val="24"/>
              </w:rPr>
            </w:pPr>
            <w:r w:rsidRPr="00E9454E">
              <w:rPr>
                <w:rFonts w:ascii="Times New Roman" w:hAnsi="Times New Roman" w:cs="Times New Roman"/>
                <w:b/>
                <w:sz w:val="24"/>
                <w:szCs w:val="24"/>
              </w:rPr>
              <w:t>Anyone Eligible To Join The Air National Guard</w:t>
            </w:r>
            <w:r w:rsidR="00E9454E" w:rsidRPr="00E9454E">
              <w:rPr>
                <w:rFonts w:ascii="Times New Roman" w:hAnsi="Times New Roman" w:cs="Times New Roman"/>
                <w:b/>
                <w:sz w:val="24"/>
                <w:szCs w:val="24"/>
              </w:rPr>
              <w:t xml:space="preserve"> </w:t>
            </w:r>
            <w:r w:rsidR="00E9454E" w:rsidRPr="00E9454E">
              <w:rPr>
                <w:rFonts w:ascii="Times New Roman" w:hAnsi="Times New Roman" w:cs="Times New Roman"/>
                <w:sz w:val="24"/>
                <w:szCs w:val="24"/>
              </w:rPr>
              <w:t>who meet the qualifications for these positions</w:t>
            </w:r>
          </w:p>
          <w:p w14:paraId="00613621" w14:textId="5EB5D837" w:rsidR="00177C66" w:rsidRPr="00177C66" w:rsidRDefault="00177C66" w:rsidP="00834807">
            <w:pPr>
              <w:pStyle w:val="TableParagraph"/>
              <w:ind w:left="86"/>
              <w:rPr>
                <w:rFonts w:ascii="Times New Roman" w:hAnsi="Times New Roman" w:cs="Times New Roman"/>
                <w:b/>
                <w:color w:val="0070C0"/>
                <w:sz w:val="24"/>
                <w:szCs w:val="24"/>
              </w:rPr>
            </w:pP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06F2">
        <w:trPr>
          <w:trHeight w:hRule="exact" w:val="2525"/>
        </w:trPr>
        <w:tc>
          <w:tcPr>
            <w:tcW w:w="11703" w:type="dxa"/>
            <w:gridSpan w:val="2"/>
          </w:tcPr>
          <w:p w14:paraId="1A7F1400" w14:textId="7E432837" w:rsidR="0038105A" w:rsidRDefault="00A8161F" w:rsidP="0038105A">
            <w:pPr>
              <w:pStyle w:val="TableParagraph"/>
              <w:tabs>
                <w:tab w:val="left" w:pos="6606"/>
              </w:tabs>
              <w:ind w:left="36" w:right="198"/>
              <w:jc w:val="center"/>
              <w:rPr>
                <w:rFonts w:ascii="Times New Roman" w:hAnsi="Times New Roman" w:cs="Times New Roman"/>
                <w:b/>
                <w:sz w:val="28"/>
              </w:rPr>
            </w:pPr>
            <w:r w:rsidRPr="00E9454E">
              <w:rPr>
                <w:rFonts w:ascii="Times New Roman" w:hAnsi="Times New Roman" w:cs="Times New Roman"/>
                <w:b/>
                <w:sz w:val="28"/>
              </w:rPr>
              <w:t>SPECIALTY</w:t>
            </w:r>
            <w:r w:rsidRPr="00E9454E">
              <w:rPr>
                <w:rFonts w:ascii="Times New Roman" w:hAnsi="Times New Roman" w:cs="Times New Roman"/>
                <w:b/>
                <w:spacing w:val="-5"/>
                <w:sz w:val="28"/>
              </w:rPr>
              <w:t xml:space="preserve"> </w:t>
            </w:r>
            <w:r w:rsidRPr="00E9454E">
              <w:rPr>
                <w:rFonts w:ascii="Times New Roman" w:hAnsi="Times New Roman" w:cs="Times New Roman"/>
                <w:b/>
                <w:sz w:val="28"/>
              </w:rPr>
              <w:t>SUMMARY</w:t>
            </w:r>
          </w:p>
          <w:p w14:paraId="59E71BA0" w14:textId="77777777" w:rsidR="0038105A" w:rsidRPr="0038105A" w:rsidRDefault="0038105A" w:rsidP="0038105A">
            <w:pPr>
              <w:pStyle w:val="TableParagraph"/>
              <w:tabs>
                <w:tab w:val="left" w:pos="6606"/>
              </w:tabs>
              <w:ind w:left="36" w:right="198"/>
              <w:jc w:val="center"/>
              <w:rPr>
                <w:rFonts w:ascii="Times New Roman" w:hAnsi="Times New Roman" w:cs="Times New Roman"/>
                <w:b/>
                <w:sz w:val="28"/>
              </w:rPr>
            </w:pPr>
          </w:p>
          <w:p w14:paraId="182EF2AF" w14:textId="77777777" w:rsidR="0038105A" w:rsidRDefault="0038105A" w:rsidP="0038105A">
            <w:pPr>
              <w:pStyle w:val="Default"/>
              <w:rPr>
                <w:sz w:val="20"/>
                <w:szCs w:val="20"/>
              </w:rPr>
            </w:pPr>
            <w:r w:rsidRPr="0038105A">
              <w:rPr>
                <w:b/>
                <w:bCs/>
                <w:sz w:val="16"/>
                <w:szCs w:val="16"/>
              </w:rPr>
              <w:t xml:space="preserve">1. Specialty Summary. </w:t>
            </w:r>
            <w:r w:rsidRPr="0038105A">
              <w:rPr>
                <w:sz w:val="16"/>
                <w:szCs w:val="16"/>
              </w:rPr>
              <w:t>Administers the Department of the Air Force’s unifying all-phase, all-hazards counter-effects program. Organizes mission-driven activities and investments across planning, preparation, mitigation, and response phases of execution to support data driven decisions for commanders at all levels. Conducts education, training, exercises, and validation events to prepare assigned and apportioned forces to execute mission command during major accidents, natural disasters and state and non-state employment of Weapons of Mass Destruction (WMD) against air, space and cyber projection platforms. Responds to nuclear weapons incidents and accidents to preserve global deterrence. Performs Chemical, Biological, Radiological and Nuclear (CBRN) response, warning and reporting to limit the ability of adversaries to affect changes to the permissibility operating environment and incur cost on friendly forces. Delivers intelligence analysis and operational recommendations to each echelon of command to sustain combat power. Provides CBRN passive defense expertise to building partnership capacity efforts and coalition, joint and interagency boards, bureaus, centers, cells and working groups (B2C2WG) to integrate service missions into operational planning activities. Related DoD Occupational Subgroup: 149400.</w:t>
            </w:r>
            <w:r>
              <w:rPr>
                <w:sz w:val="20"/>
                <w:szCs w:val="20"/>
              </w:rPr>
              <w:t xml:space="preserve"> </w:t>
            </w:r>
          </w:p>
          <w:p w14:paraId="1591E405" w14:textId="580D8A4A" w:rsidR="00235210" w:rsidRPr="00A37E15" w:rsidRDefault="00235210" w:rsidP="00D200C4">
            <w:pPr>
              <w:widowControl/>
              <w:adjustRightInd w:val="0"/>
              <w:rPr>
                <w:rFonts w:ascii="Times New Roman" w:hAnsi="Times New Roman" w:cs="Times New Roman"/>
                <w:sz w:val="24"/>
                <w:szCs w:val="24"/>
              </w:rPr>
            </w:pPr>
          </w:p>
        </w:tc>
      </w:tr>
      <w:tr w:rsidR="00B26C7A" w:rsidRPr="00214014" w14:paraId="2530DF2A" w14:textId="77777777" w:rsidTr="00A70369">
        <w:trPr>
          <w:trHeight w:hRule="exact" w:val="7745"/>
        </w:trPr>
        <w:tc>
          <w:tcPr>
            <w:tcW w:w="11703" w:type="dxa"/>
            <w:gridSpan w:val="2"/>
          </w:tcPr>
          <w:p w14:paraId="3159BDFC" w14:textId="034BDEAF" w:rsidR="00B26C7A" w:rsidRPr="00B26F5B" w:rsidRDefault="00B26C7A" w:rsidP="00B26C7A">
            <w:pPr>
              <w:pStyle w:val="TableParagraph"/>
              <w:jc w:val="center"/>
              <w:rPr>
                <w:rFonts w:ascii="Times New Roman" w:eastAsiaTheme="minorHAnsi" w:hAnsi="Times New Roman" w:cs="Times New Roman"/>
                <w:b/>
                <w:sz w:val="16"/>
                <w:szCs w:val="16"/>
              </w:rPr>
            </w:pPr>
            <w:r w:rsidRPr="00B26F5B">
              <w:rPr>
                <w:rFonts w:ascii="Times New Roman" w:eastAsiaTheme="minorHAnsi" w:hAnsi="Times New Roman" w:cs="Times New Roman"/>
                <w:b/>
                <w:sz w:val="16"/>
                <w:szCs w:val="16"/>
              </w:rPr>
              <w:t>DUTIES AND RESPONSIBILITIES</w:t>
            </w:r>
          </w:p>
          <w:p w14:paraId="26A60751" w14:textId="77777777" w:rsidR="00B26F5B" w:rsidRPr="00B26F5B" w:rsidRDefault="00B26F5B" w:rsidP="00B26F5B">
            <w:pPr>
              <w:pStyle w:val="Default"/>
              <w:rPr>
                <w:sz w:val="16"/>
                <w:szCs w:val="16"/>
              </w:rPr>
            </w:pPr>
          </w:p>
          <w:p w14:paraId="4A736473" w14:textId="77777777" w:rsidR="00B26F5B" w:rsidRPr="00456832" w:rsidRDefault="00B26F5B" w:rsidP="00B26F5B">
            <w:pPr>
              <w:pStyle w:val="Default"/>
              <w:spacing w:after="21"/>
              <w:rPr>
                <w:sz w:val="16"/>
                <w:szCs w:val="16"/>
              </w:rPr>
            </w:pPr>
            <w:r w:rsidRPr="00456832">
              <w:rPr>
                <w:sz w:val="16"/>
                <w:szCs w:val="16"/>
              </w:rPr>
              <w:t xml:space="preserve">2.1. Conducts installation level Emergency Management (EM) activities. 2.1.1. Executes CBRN response operations utilizing specialized testing equipment to identify and quantify threats during hazardous materials (HAZMAT) and suspected weapons of mass destruction (WMD) events. </w:t>
            </w:r>
          </w:p>
          <w:p w14:paraId="47E16831" w14:textId="77777777" w:rsidR="00B26F5B" w:rsidRPr="00456832" w:rsidRDefault="00B26F5B" w:rsidP="00B26F5B">
            <w:pPr>
              <w:pStyle w:val="Default"/>
              <w:spacing w:after="21"/>
              <w:rPr>
                <w:sz w:val="16"/>
                <w:szCs w:val="16"/>
              </w:rPr>
            </w:pPr>
            <w:r w:rsidRPr="00456832">
              <w:rPr>
                <w:sz w:val="16"/>
                <w:szCs w:val="16"/>
              </w:rPr>
              <w:t xml:space="preserve">2.1.2. Establishes, monitors, and maintains specialized CBRN threat detection network to identify contamination, mitigate hazards, protect personnel, and restore Air, Space and Cyber mission sets Coordinates actions to ensure prompt response during EM operations including immediate mobilization of resources and participation of agencies and organizations. </w:t>
            </w:r>
          </w:p>
          <w:p w14:paraId="2D670687" w14:textId="77777777" w:rsidR="00B26F5B" w:rsidRPr="00456832" w:rsidRDefault="00B26F5B" w:rsidP="00B26F5B">
            <w:pPr>
              <w:pStyle w:val="Default"/>
              <w:spacing w:after="21"/>
              <w:rPr>
                <w:sz w:val="16"/>
                <w:szCs w:val="16"/>
              </w:rPr>
            </w:pPr>
            <w:r w:rsidRPr="00456832">
              <w:rPr>
                <w:sz w:val="16"/>
                <w:szCs w:val="16"/>
              </w:rPr>
              <w:t xml:space="preserve">2.1.3. Utilizes scientific computer systems and software to construct detailed CBRN plume models to predict contamination and hazard footprints. Collects, interprets, and analyzes CBRN threat data to provide classified risk assessments for commanders and senior enlisted leaders to perform their missions. </w:t>
            </w:r>
          </w:p>
          <w:p w14:paraId="64724401" w14:textId="77777777" w:rsidR="00B26F5B" w:rsidRPr="00456832" w:rsidRDefault="00B26F5B" w:rsidP="00B26F5B">
            <w:pPr>
              <w:pStyle w:val="Default"/>
              <w:spacing w:after="21"/>
              <w:rPr>
                <w:sz w:val="16"/>
                <w:szCs w:val="16"/>
              </w:rPr>
            </w:pPr>
            <w:r w:rsidRPr="00456832">
              <w:rPr>
                <w:sz w:val="16"/>
                <w:szCs w:val="16"/>
              </w:rPr>
              <w:t xml:space="preserve">2.1.4. Determines contamination levels, identifies contaminated areas, and predicts CBRN hazard duration timelines. Collects and prepares samples and ensures proper transport of samples from suspected CBRN and weapons of mass destruction (WMD) events. Advises, directs, and supervises EM and CBRN specialized teams Establishes, monitors, and maintains an integrated CBRN detection, warning, and reporting system. </w:t>
            </w:r>
          </w:p>
          <w:p w14:paraId="0EA7C7D6" w14:textId="77777777" w:rsidR="00B26F5B" w:rsidRPr="00456832" w:rsidRDefault="00B26F5B" w:rsidP="00B26F5B">
            <w:pPr>
              <w:pStyle w:val="Default"/>
              <w:spacing w:after="21"/>
              <w:rPr>
                <w:sz w:val="16"/>
                <w:szCs w:val="16"/>
              </w:rPr>
            </w:pPr>
            <w:r w:rsidRPr="00456832">
              <w:rPr>
                <w:sz w:val="16"/>
                <w:szCs w:val="16"/>
              </w:rPr>
              <w:t xml:space="preserve">2.1.5. Conducts individual protection determinations, decontamination, warning, and reporting activities. </w:t>
            </w:r>
          </w:p>
          <w:p w14:paraId="55AA1EAE" w14:textId="77777777" w:rsidR="00B26F5B" w:rsidRPr="00456832" w:rsidRDefault="00B26F5B" w:rsidP="00B26F5B">
            <w:pPr>
              <w:pStyle w:val="Default"/>
              <w:spacing w:after="21"/>
              <w:rPr>
                <w:sz w:val="16"/>
                <w:szCs w:val="16"/>
              </w:rPr>
            </w:pPr>
            <w:r w:rsidRPr="00456832">
              <w:rPr>
                <w:sz w:val="16"/>
                <w:szCs w:val="16"/>
              </w:rPr>
              <w:t xml:space="preserve">2.1.6. Administers electronic systems to track training and equipment statistics and conducts Defense Readiness Reporting System updates </w:t>
            </w:r>
          </w:p>
          <w:p w14:paraId="7A67CD0D" w14:textId="77777777" w:rsidR="00B26F5B" w:rsidRPr="00456832" w:rsidRDefault="00B26F5B" w:rsidP="00B26F5B">
            <w:pPr>
              <w:pStyle w:val="Default"/>
              <w:spacing w:after="21"/>
              <w:rPr>
                <w:sz w:val="16"/>
                <w:szCs w:val="16"/>
              </w:rPr>
            </w:pPr>
            <w:r w:rsidRPr="00456832">
              <w:rPr>
                <w:sz w:val="16"/>
                <w:szCs w:val="16"/>
              </w:rPr>
              <w:t xml:space="preserve">2.1.7. Manages all aspects of EM Education and Training Program. Develops and distributes multimedia presentations, lesson plans, educational pamphlets, and handouts to support training and preparedness efforts. Instructs indoor and outdoor training using lecture and demonstration-performance methods for assigned installation populations. </w:t>
            </w:r>
          </w:p>
          <w:p w14:paraId="7B3275BD" w14:textId="77777777" w:rsidR="00B26F5B" w:rsidRPr="00456832" w:rsidRDefault="00B26F5B" w:rsidP="00B26F5B">
            <w:pPr>
              <w:pStyle w:val="Default"/>
              <w:spacing w:after="21"/>
              <w:rPr>
                <w:sz w:val="16"/>
                <w:szCs w:val="16"/>
              </w:rPr>
            </w:pPr>
            <w:r w:rsidRPr="00456832">
              <w:rPr>
                <w:sz w:val="16"/>
                <w:szCs w:val="16"/>
              </w:rPr>
              <w:t xml:space="preserve">2.1.8. Determines resource requirements, develops budgets, executes, and monitors expenditures for EM and CBRN materials and equipment. Ensures authorized and required CBRN protective equipment and clothing, detection devices and monitoring instruments are available, calibrated and in serviceable operating condition. </w:t>
            </w:r>
          </w:p>
          <w:p w14:paraId="59DBC3FA" w14:textId="77777777" w:rsidR="00B26F5B" w:rsidRPr="00456832" w:rsidRDefault="00B26F5B" w:rsidP="00B26F5B">
            <w:pPr>
              <w:pStyle w:val="Default"/>
              <w:spacing w:after="21"/>
              <w:rPr>
                <w:sz w:val="16"/>
                <w:szCs w:val="16"/>
              </w:rPr>
            </w:pPr>
            <w:r w:rsidRPr="00456832">
              <w:rPr>
                <w:sz w:val="16"/>
                <w:szCs w:val="16"/>
              </w:rPr>
              <w:t xml:space="preserve">2.1.9. Acts as the installation liaison to the local emergency planning committee (LEPC) to foster collaborative relationships before incidents, accidents, and other engagements. Develops and coordinates EM support and mutual aid agreements. </w:t>
            </w:r>
          </w:p>
          <w:p w14:paraId="5EFA3273" w14:textId="77777777" w:rsidR="00B26F5B" w:rsidRPr="00456832" w:rsidRDefault="00B26F5B" w:rsidP="00B26F5B">
            <w:pPr>
              <w:pStyle w:val="Default"/>
              <w:spacing w:after="21"/>
              <w:rPr>
                <w:sz w:val="16"/>
                <w:szCs w:val="16"/>
              </w:rPr>
            </w:pPr>
            <w:r w:rsidRPr="00456832">
              <w:rPr>
                <w:sz w:val="16"/>
                <w:szCs w:val="16"/>
              </w:rPr>
              <w:t xml:space="preserve">2.1.10. Manages and executes the Installation Emergency Management (EM) Program. Implements DoD, AF, and national consensus standards and guidance into installation level instructions, plans, guides, and checklists. </w:t>
            </w:r>
          </w:p>
          <w:p w14:paraId="3F6E3D72" w14:textId="77777777" w:rsidR="00B26F5B" w:rsidRPr="00456832" w:rsidRDefault="00B26F5B" w:rsidP="00B26F5B">
            <w:pPr>
              <w:pStyle w:val="Default"/>
              <w:spacing w:after="21"/>
              <w:rPr>
                <w:sz w:val="16"/>
                <w:szCs w:val="16"/>
              </w:rPr>
            </w:pPr>
            <w:r w:rsidRPr="00456832">
              <w:rPr>
                <w:sz w:val="16"/>
                <w:szCs w:val="16"/>
              </w:rPr>
              <w:t xml:space="preserve">2.1.11. Develops and coordinates EM planning activities. Provides input to and develops program guidance, local support agreements and other documents supporting homeland defense and expeditionary operations. </w:t>
            </w:r>
          </w:p>
          <w:p w14:paraId="033805D3" w14:textId="77777777" w:rsidR="00B26F5B" w:rsidRPr="00456832" w:rsidRDefault="00B26F5B" w:rsidP="00B26F5B">
            <w:pPr>
              <w:pStyle w:val="Default"/>
              <w:spacing w:after="21"/>
              <w:rPr>
                <w:sz w:val="16"/>
                <w:szCs w:val="16"/>
              </w:rPr>
            </w:pPr>
            <w:r w:rsidRPr="00456832">
              <w:rPr>
                <w:sz w:val="16"/>
                <w:szCs w:val="16"/>
              </w:rPr>
              <w:t xml:space="preserve">2.1.12. Integrates with allies and partners to standardize coalition tactics, techniques and procedures using an all-hazard approach to strengthen deterrence and operational feasibility across the range of military and humanitarian aid operations. </w:t>
            </w:r>
          </w:p>
          <w:p w14:paraId="1744271A" w14:textId="77777777" w:rsidR="00B26F5B" w:rsidRPr="00456832" w:rsidRDefault="00B26F5B" w:rsidP="00B26F5B">
            <w:pPr>
              <w:pStyle w:val="Default"/>
              <w:rPr>
                <w:sz w:val="16"/>
                <w:szCs w:val="16"/>
              </w:rPr>
            </w:pPr>
            <w:r w:rsidRPr="00456832">
              <w:rPr>
                <w:sz w:val="16"/>
                <w:szCs w:val="16"/>
              </w:rPr>
              <w:t xml:space="preserve">2.1.13. Performs Quality Assessment Evaluation and reviews Performance Work Statements on nontechnical contracts for compliance. </w:t>
            </w:r>
          </w:p>
          <w:p w14:paraId="177681FF" w14:textId="77777777" w:rsidR="00B26F5B" w:rsidRPr="00456832" w:rsidRDefault="00B26F5B" w:rsidP="00B26F5B">
            <w:pPr>
              <w:pStyle w:val="Default"/>
              <w:spacing w:after="19"/>
              <w:rPr>
                <w:sz w:val="16"/>
                <w:szCs w:val="16"/>
              </w:rPr>
            </w:pPr>
            <w:r w:rsidRPr="00456832">
              <w:rPr>
                <w:sz w:val="16"/>
                <w:szCs w:val="16"/>
              </w:rPr>
              <w:t xml:space="preserve">2.2. Conduct Headquarters, Center, and Agency EM activities. 2.2.1. Conducts CBRN and WMD Planning, Programming Budgeting and Execution activities. </w:t>
            </w:r>
          </w:p>
          <w:p w14:paraId="3865C64A" w14:textId="77777777" w:rsidR="00B26F5B" w:rsidRPr="00456832" w:rsidRDefault="00B26F5B" w:rsidP="00B26F5B">
            <w:pPr>
              <w:pStyle w:val="Default"/>
              <w:spacing w:after="19"/>
              <w:rPr>
                <w:sz w:val="16"/>
                <w:szCs w:val="16"/>
              </w:rPr>
            </w:pPr>
            <w:r w:rsidRPr="00456832">
              <w:rPr>
                <w:sz w:val="16"/>
                <w:szCs w:val="16"/>
              </w:rPr>
              <w:t xml:space="preserve">2.2.2. Attends DoD, DAF, MAJCOM, and center B2C2WGs to advocate for DAF EM program policy and resourcing equities. </w:t>
            </w:r>
          </w:p>
          <w:p w14:paraId="3374D6A1" w14:textId="77777777" w:rsidR="00B26F5B" w:rsidRPr="00456832" w:rsidRDefault="00B26F5B" w:rsidP="00B26F5B">
            <w:pPr>
              <w:pStyle w:val="Default"/>
              <w:spacing w:after="19"/>
              <w:rPr>
                <w:sz w:val="16"/>
                <w:szCs w:val="16"/>
              </w:rPr>
            </w:pPr>
            <w:r w:rsidRPr="00456832">
              <w:rPr>
                <w:sz w:val="16"/>
                <w:szCs w:val="16"/>
              </w:rPr>
              <w:t xml:space="preserve">2.2.3. Evaluates EM force strength and equipment resourcing levels against applicable campaign, operational and concept plans and where present, branch and sequel plans. </w:t>
            </w:r>
          </w:p>
          <w:p w14:paraId="245ABED9" w14:textId="77777777" w:rsidR="00B26F5B" w:rsidRPr="00456832" w:rsidRDefault="00B26F5B" w:rsidP="00B26F5B">
            <w:pPr>
              <w:pStyle w:val="Default"/>
              <w:spacing w:after="19"/>
              <w:rPr>
                <w:sz w:val="16"/>
                <w:szCs w:val="16"/>
              </w:rPr>
            </w:pPr>
            <w:r w:rsidRPr="00456832">
              <w:rPr>
                <w:sz w:val="16"/>
                <w:szCs w:val="16"/>
              </w:rPr>
              <w:t xml:space="preserve">2.2.4. Monitor joint and commercial technological advances and integrate into joint and service resourcing strategies. </w:t>
            </w:r>
          </w:p>
          <w:p w14:paraId="485854F0" w14:textId="77777777" w:rsidR="00B26F5B" w:rsidRPr="00456832" w:rsidRDefault="00B26F5B" w:rsidP="00B26F5B">
            <w:pPr>
              <w:pStyle w:val="Default"/>
              <w:spacing w:after="19"/>
              <w:rPr>
                <w:sz w:val="16"/>
                <w:szCs w:val="16"/>
              </w:rPr>
            </w:pPr>
            <w:r w:rsidRPr="00456832">
              <w:rPr>
                <w:sz w:val="16"/>
                <w:szCs w:val="16"/>
              </w:rPr>
              <w:t xml:space="preserve">2.2.5. Represent DAF equities to the DoD Emergency Management Steering Group. </w:t>
            </w:r>
          </w:p>
          <w:p w14:paraId="7FBF4750" w14:textId="77777777" w:rsidR="00B26F5B" w:rsidRPr="00456832" w:rsidRDefault="00B26F5B" w:rsidP="00B26F5B">
            <w:pPr>
              <w:pStyle w:val="Default"/>
              <w:spacing w:after="19"/>
              <w:rPr>
                <w:sz w:val="16"/>
                <w:szCs w:val="16"/>
              </w:rPr>
            </w:pPr>
            <w:r w:rsidRPr="00456832">
              <w:rPr>
                <w:sz w:val="16"/>
                <w:szCs w:val="16"/>
              </w:rPr>
              <w:t xml:space="preserve">2.2.6. Maintain professionalization for enlisted, officer and civilian career paths. </w:t>
            </w:r>
          </w:p>
          <w:p w14:paraId="681FB6E1" w14:textId="77777777" w:rsidR="00B26F5B" w:rsidRDefault="00B26F5B" w:rsidP="00B26F5B">
            <w:pPr>
              <w:pStyle w:val="Default"/>
              <w:rPr>
                <w:sz w:val="16"/>
                <w:szCs w:val="16"/>
              </w:rPr>
            </w:pPr>
            <w:r w:rsidRPr="00456832">
              <w:rPr>
                <w:sz w:val="16"/>
                <w:szCs w:val="16"/>
              </w:rPr>
              <w:t xml:space="preserve">2.2.7. Continuously evaluate DAF EM training products and exercise use case scenarios against adversary fielded threats, intelligence products and operational concepts </w:t>
            </w:r>
          </w:p>
          <w:p w14:paraId="507B4E45" w14:textId="77777777" w:rsidR="00815203" w:rsidRDefault="00815203" w:rsidP="00815203">
            <w:pPr>
              <w:pStyle w:val="Default"/>
            </w:pPr>
          </w:p>
          <w:p w14:paraId="25769AFD" w14:textId="4F376DDC" w:rsidR="00815203" w:rsidRDefault="00815203" w:rsidP="00815203">
            <w:pPr>
              <w:pStyle w:val="Default"/>
              <w:rPr>
                <w:sz w:val="20"/>
                <w:szCs w:val="20"/>
              </w:rPr>
            </w:pPr>
            <w:r>
              <w:rPr>
                <w:sz w:val="20"/>
                <w:szCs w:val="20"/>
              </w:rPr>
              <w:t xml:space="preserve">Retraining into AFSC 3E9X1 within Regular Air Force and Air National Guard is restricted to the grades of E-6 and below with less than 10 years of Total Active Federal Military Service. CBRN operators require experienced technical leadership to successfully execute their mission sets. </w:t>
            </w:r>
          </w:p>
          <w:p w14:paraId="5224A14B" w14:textId="77777777" w:rsidR="00815203" w:rsidRDefault="00815203" w:rsidP="00815203">
            <w:pPr>
              <w:pStyle w:val="Default"/>
              <w:rPr>
                <w:sz w:val="20"/>
                <w:szCs w:val="20"/>
              </w:rPr>
            </w:pPr>
          </w:p>
          <w:p w14:paraId="0874A888" w14:textId="77777777" w:rsidR="00815203" w:rsidRPr="00456832" w:rsidRDefault="00815203" w:rsidP="00B26F5B">
            <w:pPr>
              <w:pStyle w:val="Default"/>
              <w:rPr>
                <w:sz w:val="16"/>
                <w:szCs w:val="16"/>
              </w:rPr>
            </w:pPr>
          </w:p>
          <w:p w14:paraId="7A043DBF" w14:textId="77777777" w:rsidR="00B26F5B" w:rsidRPr="00B26F5B" w:rsidRDefault="00B26F5B" w:rsidP="00B26F5B">
            <w:pPr>
              <w:pStyle w:val="Default"/>
              <w:rPr>
                <w:color w:val="auto"/>
                <w:sz w:val="16"/>
                <w:szCs w:val="16"/>
              </w:rPr>
            </w:pPr>
          </w:p>
          <w:p w14:paraId="0FC1CDD6" w14:textId="77777777" w:rsidR="00B26F5B" w:rsidRPr="00B26F5B" w:rsidRDefault="00B26F5B" w:rsidP="00B26F5B">
            <w:pPr>
              <w:pStyle w:val="Default"/>
              <w:rPr>
                <w:color w:val="auto"/>
                <w:sz w:val="16"/>
                <w:szCs w:val="16"/>
              </w:rPr>
            </w:pPr>
          </w:p>
          <w:p w14:paraId="434AAF9E" w14:textId="77777777" w:rsidR="00B26F5B" w:rsidRPr="00B26F5B" w:rsidRDefault="00B26F5B" w:rsidP="00B26F5B">
            <w:pPr>
              <w:pStyle w:val="Default"/>
              <w:rPr>
                <w:color w:val="auto"/>
                <w:sz w:val="16"/>
                <w:szCs w:val="16"/>
              </w:rPr>
            </w:pPr>
          </w:p>
          <w:p w14:paraId="23401CB6" w14:textId="77777777" w:rsidR="00B26F5B" w:rsidRPr="00B26F5B" w:rsidRDefault="00B26F5B" w:rsidP="00B26F5B">
            <w:pPr>
              <w:pStyle w:val="Default"/>
              <w:rPr>
                <w:color w:val="auto"/>
                <w:sz w:val="16"/>
                <w:szCs w:val="16"/>
              </w:rPr>
            </w:pPr>
          </w:p>
          <w:p w14:paraId="0B9D1B66" w14:textId="3B2E171D" w:rsidR="00C73768" w:rsidRPr="00B26F5B" w:rsidRDefault="00C73768" w:rsidP="00EA48E6">
            <w:pPr>
              <w:pStyle w:val="Default"/>
              <w:rPr>
                <w:rFonts w:ascii="CIDFont+F1" w:hAnsi="CIDFont+F1" w:cs="CIDFont+F1"/>
                <w:sz w:val="16"/>
                <w:szCs w:val="16"/>
              </w:rPr>
            </w:pPr>
          </w:p>
        </w:tc>
      </w:tr>
      <w:tr w:rsidR="00434D84" w:rsidRPr="00214014" w14:paraId="4FDA0993" w14:textId="77777777" w:rsidTr="00A70369">
        <w:trPr>
          <w:trHeight w:hRule="exact" w:val="7745"/>
        </w:trPr>
        <w:tc>
          <w:tcPr>
            <w:tcW w:w="11703" w:type="dxa"/>
            <w:gridSpan w:val="2"/>
          </w:tcPr>
          <w:p w14:paraId="386854B4" w14:textId="77777777" w:rsidR="00434D84" w:rsidRDefault="00434D84" w:rsidP="00434D84">
            <w:pPr>
              <w:pStyle w:val="TableParagraph"/>
              <w:rPr>
                <w:rFonts w:ascii="CIDFont+F1" w:eastAsiaTheme="minorHAnsi" w:hAnsi="CIDFont+F1" w:cs="CIDFont+F1"/>
                <w:sz w:val="20"/>
                <w:szCs w:val="20"/>
              </w:rPr>
            </w:pPr>
          </w:p>
          <w:p w14:paraId="3988EBB4" w14:textId="77777777" w:rsidR="00434D84" w:rsidRPr="00E9454E" w:rsidRDefault="00434D84" w:rsidP="00434D84">
            <w:pPr>
              <w:pStyle w:val="TableParagraph"/>
              <w:spacing w:before="2"/>
              <w:jc w:val="center"/>
              <w:rPr>
                <w:rFonts w:ascii="Times New Roman" w:hAnsi="Times New Roman" w:cs="Times New Roman"/>
                <w:b/>
                <w:sz w:val="28"/>
                <w:szCs w:val="28"/>
              </w:rPr>
            </w:pPr>
            <w:r w:rsidRPr="00E9454E">
              <w:rPr>
                <w:rFonts w:ascii="Times New Roman" w:hAnsi="Times New Roman" w:cs="Times New Roman"/>
                <w:b/>
                <w:sz w:val="28"/>
                <w:szCs w:val="28"/>
              </w:rPr>
              <w:t>INQUIRIES ABOUT POSITIONS</w:t>
            </w:r>
          </w:p>
          <w:p w14:paraId="54C7378C" w14:textId="77777777" w:rsidR="00434D84" w:rsidRPr="00E9454E" w:rsidRDefault="00434D84" w:rsidP="00434D84">
            <w:pPr>
              <w:pStyle w:val="TableParagraph"/>
              <w:spacing w:before="2"/>
              <w:jc w:val="center"/>
              <w:rPr>
                <w:rFonts w:ascii="Times New Roman" w:hAnsi="Times New Roman" w:cs="Times New Roman"/>
                <w:b/>
                <w:sz w:val="40"/>
                <w:szCs w:val="40"/>
              </w:rPr>
            </w:pPr>
          </w:p>
          <w:p w14:paraId="79AAE9EC" w14:textId="67F3ADE8" w:rsidR="00434D84" w:rsidRPr="00E9454E" w:rsidRDefault="00434D84" w:rsidP="00434D84">
            <w:pPr>
              <w:pStyle w:val="TableParagraph"/>
              <w:jc w:val="center"/>
              <w:rPr>
                <w:rFonts w:ascii="Times New Roman" w:hAnsi="Times New Roman" w:cs="Times New Roman"/>
                <w:b/>
                <w:color w:val="0070C0"/>
                <w:sz w:val="40"/>
                <w:szCs w:val="40"/>
              </w:rPr>
            </w:pPr>
            <w:r w:rsidRPr="00E9454E">
              <w:rPr>
                <w:rFonts w:ascii="Times New Roman" w:hAnsi="Times New Roman" w:cs="Times New Roman"/>
                <w:b/>
                <w:color w:val="0070C0"/>
                <w:sz w:val="40"/>
                <w:szCs w:val="40"/>
              </w:rPr>
              <w:t xml:space="preserve">Please Contact </w:t>
            </w:r>
            <w:r w:rsidR="007212FA">
              <w:rPr>
                <w:rFonts w:ascii="Times New Roman" w:hAnsi="Times New Roman" w:cs="Times New Roman"/>
                <w:b/>
                <w:color w:val="0070C0"/>
                <w:sz w:val="40"/>
                <w:szCs w:val="40"/>
              </w:rPr>
              <w:t>t</w:t>
            </w:r>
            <w:r w:rsidRPr="00E9454E">
              <w:rPr>
                <w:rFonts w:ascii="Times New Roman" w:hAnsi="Times New Roman" w:cs="Times New Roman"/>
                <w:b/>
                <w:color w:val="0070C0"/>
                <w:sz w:val="40"/>
                <w:szCs w:val="40"/>
              </w:rPr>
              <w:t xml:space="preserve">he Recruiting Office @ 716-236-3085 </w:t>
            </w:r>
            <w:r>
              <w:rPr>
                <w:rFonts w:ascii="Times New Roman" w:hAnsi="Times New Roman" w:cs="Times New Roman"/>
                <w:b/>
                <w:color w:val="0070C0"/>
                <w:sz w:val="40"/>
                <w:szCs w:val="40"/>
              </w:rPr>
              <w:t>f</w:t>
            </w:r>
            <w:r w:rsidRPr="00E9454E">
              <w:rPr>
                <w:rFonts w:ascii="Times New Roman" w:hAnsi="Times New Roman" w:cs="Times New Roman"/>
                <w:b/>
                <w:color w:val="0070C0"/>
                <w:sz w:val="40"/>
                <w:szCs w:val="40"/>
              </w:rPr>
              <w:t>or Qualification and Eligibility Questions.</w:t>
            </w:r>
          </w:p>
          <w:p w14:paraId="2CDCEA70" w14:textId="77777777" w:rsidR="00434D84" w:rsidRDefault="00434D84" w:rsidP="00434D84">
            <w:pPr>
              <w:widowControl/>
              <w:adjustRightInd w:val="0"/>
              <w:rPr>
                <w:rFonts w:ascii="CIDFont+F1" w:eastAsiaTheme="minorHAnsi" w:hAnsi="CIDFont+F1" w:cs="CIDFont+F1"/>
                <w:sz w:val="20"/>
                <w:szCs w:val="20"/>
              </w:rPr>
            </w:pPr>
          </w:p>
          <w:p w14:paraId="4AF26358" w14:textId="72977B76" w:rsidR="00434D84" w:rsidRPr="00E9454E" w:rsidRDefault="00434D84" w:rsidP="00434D84">
            <w:pPr>
              <w:pStyle w:val="TableParagraph"/>
              <w:rPr>
                <w:rFonts w:ascii="Times New Roman" w:eastAsiaTheme="minorHAnsi" w:hAnsi="Times New Roman" w:cs="Times New Roman"/>
                <w:b/>
                <w:sz w:val="28"/>
                <w:szCs w:val="28"/>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777F" w14:textId="77777777" w:rsidR="00432B17" w:rsidRDefault="00432B17">
      <w:r>
        <w:separator/>
      </w:r>
    </w:p>
  </w:endnote>
  <w:endnote w:type="continuationSeparator" w:id="0">
    <w:p w14:paraId="45ECC437" w14:textId="77777777" w:rsidR="00432B17" w:rsidRDefault="004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29DE" w14:textId="77777777" w:rsidR="00432B17" w:rsidRDefault="00432B17">
      <w:r>
        <w:separator/>
      </w:r>
    </w:p>
  </w:footnote>
  <w:footnote w:type="continuationSeparator" w:id="0">
    <w:p w14:paraId="48E63850" w14:textId="77777777" w:rsidR="00432B17" w:rsidRDefault="0043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835021">
    <w:abstractNumId w:val="3"/>
  </w:num>
  <w:num w:numId="2" w16cid:durableId="1182620717">
    <w:abstractNumId w:val="1"/>
  </w:num>
  <w:num w:numId="3" w16cid:durableId="1550654537">
    <w:abstractNumId w:val="7"/>
  </w:num>
  <w:num w:numId="4" w16cid:durableId="1469282955">
    <w:abstractNumId w:val="4"/>
  </w:num>
  <w:num w:numId="5" w16cid:durableId="1953318907">
    <w:abstractNumId w:val="0"/>
  </w:num>
  <w:num w:numId="6" w16cid:durableId="495658404">
    <w:abstractNumId w:val="2"/>
  </w:num>
  <w:num w:numId="7" w16cid:durableId="2060202104">
    <w:abstractNumId w:val="6"/>
  </w:num>
  <w:num w:numId="8" w16cid:durableId="103785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279FB"/>
    <w:rsid w:val="000609E7"/>
    <w:rsid w:val="00064A89"/>
    <w:rsid w:val="000655E8"/>
    <w:rsid w:val="00081F1F"/>
    <w:rsid w:val="000F5465"/>
    <w:rsid w:val="00126F33"/>
    <w:rsid w:val="001549B4"/>
    <w:rsid w:val="001553A7"/>
    <w:rsid w:val="00156881"/>
    <w:rsid w:val="00177C66"/>
    <w:rsid w:val="0018343D"/>
    <w:rsid w:val="001E03C5"/>
    <w:rsid w:val="002011E6"/>
    <w:rsid w:val="00204E8A"/>
    <w:rsid w:val="00214014"/>
    <w:rsid w:val="00235210"/>
    <w:rsid w:val="002355C0"/>
    <w:rsid w:val="00255CF1"/>
    <w:rsid w:val="002B1B7D"/>
    <w:rsid w:val="003017FD"/>
    <w:rsid w:val="00324C19"/>
    <w:rsid w:val="003711C1"/>
    <w:rsid w:val="0038105A"/>
    <w:rsid w:val="003B72F6"/>
    <w:rsid w:val="003F2B77"/>
    <w:rsid w:val="00403E9C"/>
    <w:rsid w:val="00404A5A"/>
    <w:rsid w:val="00425812"/>
    <w:rsid w:val="00432B17"/>
    <w:rsid w:val="00434D84"/>
    <w:rsid w:val="00456832"/>
    <w:rsid w:val="0046007C"/>
    <w:rsid w:val="00461A3C"/>
    <w:rsid w:val="004A65CE"/>
    <w:rsid w:val="004D66F5"/>
    <w:rsid w:val="004E6282"/>
    <w:rsid w:val="004F20F3"/>
    <w:rsid w:val="00535B9D"/>
    <w:rsid w:val="005477D6"/>
    <w:rsid w:val="00553521"/>
    <w:rsid w:val="00556AF6"/>
    <w:rsid w:val="0058233C"/>
    <w:rsid w:val="005A4332"/>
    <w:rsid w:val="005C126F"/>
    <w:rsid w:val="005F0CA7"/>
    <w:rsid w:val="0061679B"/>
    <w:rsid w:val="006362C2"/>
    <w:rsid w:val="00663C91"/>
    <w:rsid w:val="00692C4E"/>
    <w:rsid w:val="00696F4C"/>
    <w:rsid w:val="006B04F4"/>
    <w:rsid w:val="006E02A0"/>
    <w:rsid w:val="006E46BB"/>
    <w:rsid w:val="00713C45"/>
    <w:rsid w:val="00720948"/>
    <w:rsid w:val="007212FA"/>
    <w:rsid w:val="0073383C"/>
    <w:rsid w:val="00752BCA"/>
    <w:rsid w:val="00763CED"/>
    <w:rsid w:val="007A65E6"/>
    <w:rsid w:val="007D797B"/>
    <w:rsid w:val="00815203"/>
    <w:rsid w:val="00827885"/>
    <w:rsid w:val="00834807"/>
    <w:rsid w:val="00857996"/>
    <w:rsid w:val="008C5531"/>
    <w:rsid w:val="008D6D3F"/>
    <w:rsid w:val="008E1DE2"/>
    <w:rsid w:val="00962089"/>
    <w:rsid w:val="00987FAF"/>
    <w:rsid w:val="009D683A"/>
    <w:rsid w:val="00A02AF1"/>
    <w:rsid w:val="00A345AC"/>
    <w:rsid w:val="00A37E15"/>
    <w:rsid w:val="00A4072C"/>
    <w:rsid w:val="00A43F29"/>
    <w:rsid w:val="00A53284"/>
    <w:rsid w:val="00A55051"/>
    <w:rsid w:val="00A65F6B"/>
    <w:rsid w:val="00A70369"/>
    <w:rsid w:val="00A8002E"/>
    <w:rsid w:val="00A8161F"/>
    <w:rsid w:val="00A85B1A"/>
    <w:rsid w:val="00A9212A"/>
    <w:rsid w:val="00AA1299"/>
    <w:rsid w:val="00AB101F"/>
    <w:rsid w:val="00AB23B0"/>
    <w:rsid w:val="00AB46A2"/>
    <w:rsid w:val="00AB6376"/>
    <w:rsid w:val="00AD4E28"/>
    <w:rsid w:val="00B05D06"/>
    <w:rsid w:val="00B243B4"/>
    <w:rsid w:val="00B26C7A"/>
    <w:rsid w:val="00B26F5B"/>
    <w:rsid w:val="00B65656"/>
    <w:rsid w:val="00B66A64"/>
    <w:rsid w:val="00B85CE9"/>
    <w:rsid w:val="00B97A1B"/>
    <w:rsid w:val="00BB0FEA"/>
    <w:rsid w:val="00BB4B9D"/>
    <w:rsid w:val="00BE0D5C"/>
    <w:rsid w:val="00BF3E0F"/>
    <w:rsid w:val="00C23F92"/>
    <w:rsid w:val="00C25614"/>
    <w:rsid w:val="00C3321F"/>
    <w:rsid w:val="00C73768"/>
    <w:rsid w:val="00C82BAB"/>
    <w:rsid w:val="00C83338"/>
    <w:rsid w:val="00CE1250"/>
    <w:rsid w:val="00CE4F5E"/>
    <w:rsid w:val="00D200C4"/>
    <w:rsid w:val="00D55276"/>
    <w:rsid w:val="00D56259"/>
    <w:rsid w:val="00D63258"/>
    <w:rsid w:val="00D95F36"/>
    <w:rsid w:val="00D96363"/>
    <w:rsid w:val="00DA6E06"/>
    <w:rsid w:val="00DB50A9"/>
    <w:rsid w:val="00E04076"/>
    <w:rsid w:val="00E70322"/>
    <w:rsid w:val="00E9454E"/>
    <w:rsid w:val="00EA48E6"/>
    <w:rsid w:val="00EB1ECB"/>
    <w:rsid w:val="00F00C58"/>
    <w:rsid w:val="00F2021B"/>
    <w:rsid w:val="00F20632"/>
    <w:rsid w:val="00F218A7"/>
    <w:rsid w:val="00F2440C"/>
    <w:rsid w:val="00F631D2"/>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DODGE, NICHOLAS S MSgt USAF ANG 107 FSS/FPIR</cp:lastModifiedBy>
  <cp:revision>3</cp:revision>
  <cp:lastPrinted>2022-12-22T13:55:00Z</cp:lastPrinted>
  <dcterms:created xsi:type="dcterms:W3CDTF">2024-01-05T14:43:00Z</dcterms:created>
  <dcterms:modified xsi:type="dcterms:W3CDTF">2024-01-05T14:44:00Z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