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66BCDCF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4C0EA4">
              <w:rPr>
                <w:rFonts w:ascii="Times New Roman" w:hAnsi="Times New Roman" w:cs="Times New Roman"/>
                <w:b/>
                <w:bCs/>
                <w:color w:val="0070C0"/>
                <w:sz w:val="24"/>
                <w:szCs w:val="24"/>
              </w:rPr>
              <w:t>FY 2</w:t>
            </w:r>
            <w:r w:rsidR="004C0EA4">
              <w:rPr>
                <w:rFonts w:ascii="Times New Roman" w:hAnsi="Times New Roman" w:cs="Times New Roman"/>
                <w:b/>
                <w:bCs/>
                <w:color w:val="0070C0"/>
                <w:sz w:val="24"/>
                <w:szCs w:val="24"/>
              </w:rPr>
              <w:t>4</w:t>
            </w:r>
            <w:r w:rsidR="00692C4E" w:rsidRPr="004C0EA4">
              <w:rPr>
                <w:rFonts w:ascii="Times New Roman" w:hAnsi="Times New Roman" w:cs="Times New Roman"/>
                <w:b/>
                <w:bCs/>
                <w:color w:val="0070C0"/>
                <w:sz w:val="24"/>
                <w:szCs w:val="24"/>
              </w:rPr>
              <w:t>-</w:t>
            </w:r>
            <w:r w:rsidR="004C0EA4">
              <w:rPr>
                <w:rFonts w:ascii="Times New Roman" w:hAnsi="Times New Roman" w:cs="Times New Roman"/>
                <w:b/>
                <w:bCs/>
                <w:color w:val="0070C0"/>
                <w:sz w:val="24"/>
                <w:szCs w:val="24"/>
              </w:rPr>
              <w:t>19</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73768F82" w:rsidR="00A02AF1" w:rsidRPr="00214014" w:rsidRDefault="00A8161F" w:rsidP="00AA3EFC">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C0EA4">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2E28269F" w:rsidR="00A02AF1" w:rsidRPr="00214014" w:rsidRDefault="00A8161F" w:rsidP="00854363">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00252D">
              <w:rPr>
                <w:rFonts w:ascii="Times New Roman" w:hAnsi="Times New Roman" w:cs="Times New Roman"/>
                <w:sz w:val="24"/>
                <w:szCs w:val="24"/>
              </w:rPr>
              <w:t>Logistics Readiness</w:t>
            </w:r>
            <w:r w:rsidR="00692C4E">
              <w:rPr>
                <w:rFonts w:ascii="Times New Roman" w:hAnsi="Times New Roman" w:cs="Times New Roman"/>
                <w:sz w:val="24"/>
                <w:szCs w:val="24"/>
              </w:rPr>
              <w:t xml:space="preserve"> </w:t>
            </w:r>
            <w:r w:rsidR="00854363">
              <w:rPr>
                <w:rFonts w:ascii="Times New Roman" w:hAnsi="Times New Roman" w:cs="Times New Roman"/>
                <w:sz w:val="24"/>
                <w:szCs w:val="24"/>
              </w:rPr>
              <w:t xml:space="preserve">Squadron </w:t>
            </w:r>
          </w:p>
        </w:tc>
        <w:tc>
          <w:tcPr>
            <w:tcW w:w="5848" w:type="dxa"/>
            <w:tcBorders>
              <w:right w:val="single" w:sz="12" w:space="0" w:color="000000"/>
            </w:tcBorders>
          </w:tcPr>
          <w:p w14:paraId="645B4822" w14:textId="73AC80E8"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00252D">
              <w:rPr>
                <w:rFonts w:ascii="Times New Roman" w:hAnsi="Times New Roman" w:cs="Times New Roman"/>
                <w:sz w:val="24"/>
                <w:szCs w:val="24"/>
              </w:rPr>
              <w:t>2</w:t>
            </w:r>
            <w:r w:rsidR="004204A7">
              <w:rPr>
                <w:rFonts w:ascii="Times New Roman" w:hAnsi="Times New Roman" w:cs="Times New Roman"/>
                <w:sz w:val="24"/>
                <w:szCs w:val="24"/>
              </w:rPr>
              <w:t>G</w:t>
            </w:r>
            <w:r w:rsidR="00C65448">
              <w:rPr>
                <w:rFonts w:ascii="Times New Roman" w:hAnsi="Times New Roman" w:cs="Times New Roman"/>
                <w:sz w:val="24"/>
                <w:szCs w:val="24"/>
              </w:rPr>
              <w:t>0</w:t>
            </w:r>
            <w:r w:rsidR="004204A7">
              <w:rPr>
                <w:rFonts w:ascii="Times New Roman" w:hAnsi="Times New Roman" w:cs="Times New Roman"/>
                <w:sz w:val="24"/>
                <w:szCs w:val="24"/>
              </w:rPr>
              <w:t>71</w:t>
            </w:r>
          </w:p>
          <w:p w14:paraId="1CEB2C07" w14:textId="504EAC37" w:rsidR="005A4332" w:rsidRPr="00214014" w:rsidRDefault="005A4332" w:rsidP="00077C71">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077C71">
              <w:rPr>
                <w:rFonts w:ascii="Times New Roman" w:hAnsi="Times New Roman" w:cs="Times New Roman"/>
                <w:sz w:val="28"/>
              </w:rPr>
              <w:t xml:space="preserve">  T</w:t>
            </w:r>
            <w:r w:rsidR="00854363">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368F2C66" w:rsidR="00F00C58" w:rsidRPr="0000252D" w:rsidRDefault="004204A7" w:rsidP="0000252D">
            <w:pPr>
              <w:pStyle w:val="TableParagraph"/>
              <w:ind w:left="86"/>
              <w:rPr>
                <w:rFonts w:ascii="Times New Roman" w:hAnsi="Times New Roman" w:cs="Times New Roman"/>
                <w:sz w:val="24"/>
                <w:szCs w:val="24"/>
              </w:rPr>
            </w:pPr>
            <w:r>
              <w:rPr>
                <w:rFonts w:ascii="Times New Roman" w:hAnsi="Times New Roman" w:cs="Times New Roman"/>
                <w:sz w:val="24"/>
                <w:szCs w:val="24"/>
              </w:rPr>
              <w:t>Logistics Plans</w:t>
            </w:r>
            <w:r w:rsidR="0000252D" w:rsidRPr="0000252D">
              <w:rPr>
                <w:rFonts w:ascii="Times New Roman" w:hAnsi="Times New Roman" w:cs="Times New Roman"/>
                <w:sz w:val="24"/>
                <w:szCs w:val="24"/>
              </w:rPr>
              <w:t xml:space="preserve">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8C7192">
        <w:trPr>
          <w:trHeight w:hRule="exact" w:val="1895"/>
        </w:trPr>
        <w:tc>
          <w:tcPr>
            <w:tcW w:w="11703" w:type="dxa"/>
            <w:gridSpan w:val="2"/>
          </w:tcPr>
          <w:p w14:paraId="68C259C8" w14:textId="77777777" w:rsidR="00A02AF1" w:rsidRDefault="00A8161F" w:rsidP="00A43F29">
            <w:pPr>
              <w:pStyle w:val="TableParagraph"/>
              <w:tabs>
                <w:tab w:val="left" w:pos="6606"/>
              </w:tabs>
              <w:ind w:left="36" w:right="198"/>
              <w:jc w:val="center"/>
              <w:rPr>
                <w:rFonts w:ascii="Times New Roman" w:hAnsi="Times New Roman" w:cs="Times New Roman"/>
                <w:b/>
                <w:sz w:val="28"/>
                <w:szCs w:val="28"/>
              </w:rPr>
            </w:pPr>
            <w:r w:rsidRPr="0000252D">
              <w:rPr>
                <w:rFonts w:ascii="Times New Roman" w:hAnsi="Times New Roman" w:cs="Times New Roman"/>
                <w:b/>
                <w:sz w:val="28"/>
                <w:szCs w:val="28"/>
                <w:highlight w:val="yellow"/>
              </w:rPr>
              <w:t>SPECIALTY</w:t>
            </w:r>
            <w:r w:rsidRPr="0000252D">
              <w:rPr>
                <w:rFonts w:ascii="Times New Roman" w:hAnsi="Times New Roman" w:cs="Times New Roman"/>
                <w:b/>
                <w:spacing w:val="-5"/>
                <w:sz w:val="28"/>
                <w:szCs w:val="28"/>
                <w:highlight w:val="yellow"/>
              </w:rPr>
              <w:t xml:space="preserve"> </w:t>
            </w:r>
            <w:r w:rsidRPr="0000252D">
              <w:rPr>
                <w:rFonts w:ascii="Times New Roman" w:hAnsi="Times New Roman" w:cs="Times New Roman"/>
                <w:b/>
                <w:sz w:val="28"/>
                <w:szCs w:val="28"/>
                <w:highlight w:val="yellow"/>
              </w:rPr>
              <w:t>SUMMARY</w:t>
            </w:r>
          </w:p>
          <w:p w14:paraId="2A09CFE5" w14:textId="77777777" w:rsidR="008C7192" w:rsidRPr="0000252D" w:rsidRDefault="008C7192" w:rsidP="00A43F29">
            <w:pPr>
              <w:pStyle w:val="TableParagraph"/>
              <w:tabs>
                <w:tab w:val="left" w:pos="6606"/>
              </w:tabs>
              <w:ind w:left="36" w:right="198"/>
              <w:jc w:val="center"/>
              <w:rPr>
                <w:rFonts w:ascii="Times New Roman" w:hAnsi="Times New Roman" w:cs="Times New Roman"/>
                <w:b/>
                <w:sz w:val="28"/>
                <w:szCs w:val="28"/>
              </w:rPr>
            </w:pPr>
          </w:p>
          <w:p w14:paraId="1591E405" w14:textId="72710D13" w:rsidR="00235210" w:rsidRPr="008C7192" w:rsidRDefault="00815591" w:rsidP="00BC4C85">
            <w:pPr>
              <w:widowControl/>
              <w:adjustRightInd w:val="0"/>
              <w:jc w:val="both"/>
              <w:rPr>
                <w:rFonts w:ascii="Times New Roman" w:eastAsiaTheme="minorHAnsi" w:hAnsi="Times New Roman" w:cs="Times New Roman"/>
              </w:rPr>
            </w:pPr>
            <w:r w:rsidRPr="008C7192">
              <w:rPr>
                <w:rFonts w:ascii="Times New Roman" w:eastAsiaTheme="minorHAnsi" w:hAnsi="Times New Roman" w:cs="Times New Roman"/>
              </w:rPr>
              <w:t xml:space="preserve">Performs contingency planning through the requirements determination process, </w:t>
            </w:r>
            <w:proofErr w:type="gramStart"/>
            <w:r w:rsidRPr="008C7192">
              <w:rPr>
                <w:rFonts w:ascii="Times New Roman" w:eastAsiaTheme="minorHAnsi" w:hAnsi="Times New Roman" w:cs="Times New Roman"/>
              </w:rPr>
              <w:t>analysis</w:t>
            </w:r>
            <w:proofErr w:type="gramEnd"/>
            <w:r w:rsidRPr="008C7192">
              <w:rPr>
                <w:rFonts w:ascii="Times New Roman" w:eastAsiaTheme="minorHAnsi" w:hAnsi="Times New Roman" w:cs="Times New Roman"/>
              </w:rPr>
              <w:t xml:space="preserve"> and evaluation of operational plans. This includes adaptive planning, base support and expeditionary site planning, War Reserve Materiel (WRM) deployment/redeployment/reception, support agreements and Acquisition and Cross-Servicing Agreements (ACSA) processes and logistics C2 functions.</w:t>
            </w:r>
          </w:p>
        </w:tc>
      </w:tr>
      <w:tr w:rsidR="00B26C7A" w:rsidRPr="00214014" w14:paraId="2530DF2A" w14:textId="77777777" w:rsidTr="00294E00">
        <w:trPr>
          <w:trHeight w:hRule="exact" w:val="6314"/>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32"/>
                <w:szCs w:val="28"/>
              </w:rPr>
            </w:pPr>
            <w:r w:rsidRPr="00B9116F">
              <w:rPr>
                <w:rFonts w:ascii="Times New Roman" w:eastAsiaTheme="minorHAnsi" w:hAnsi="Times New Roman" w:cs="Times New Roman"/>
                <w:b/>
                <w:sz w:val="32"/>
                <w:szCs w:val="28"/>
                <w:highlight w:val="yellow"/>
              </w:rPr>
              <w:t>DUTIES AND RESPONSIBILITIES</w:t>
            </w:r>
          </w:p>
          <w:p w14:paraId="42308767" w14:textId="77777777" w:rsidR="008C7192" w:rsidRPr="00B9116F" w:rsidRDefault="008C7192" w:rsidP="00B26C7A">
            <w:pPr>
              <w:pStyle w:val="TableParagraph"/>
              <w:jc w:val="center"/>
              <w:rPr>
                <w:rFonts w:ascii="Times New Roman" w:eastAsiaTheme="minorHAnsi" w:hAnsi="Times New Roman" w:cs="Times New Roman"/>
                <w:b/>
                <w:sz w:val="32"/>
                <w:szCs w:val="28"/>
              </w:rPr>
            </w:pPr>
          </w:p>
          <w:p w14:paraId="2CFCA7D6" w14:textId="77777777" w:rsidR="00AA3EFC" w:rsidRPr="008C7192" w:rsidRDefault="00FC373D" w:rsidP="00FC373D">
            <w:pPr>
              <w:pStyle w:val="Default"/>
              <w:jc w:val="both"/>
              <w:rPr>
                <w:bCs/>
                <w:sz w:val="22"/>
                <w:szCs w:val="22"/>
              </w:rPr>
            </w:pPr>
            <w:r w:rsidRPr="008C7192">
              <w:rPr>
                <w:bCs/>
                <w:sz w:val="22"/>
                <w:szCs w:val="22"/>
              </w:rPr>
              <w:t>1. Performs logistics command and control to support National Defense, Air Force, and Homeland Defense operations. Coordinates action to ensure prompt response that facilitates the consolidation of logistics annexes; while identifying limiting factors that affect operational objectives, programming, general support, contingency, and exercise plans. Manages and monitors the installation’s unit deployment/redeployment/reception programs. Collects, extracts, analysis and interprets logistics data from information systems and plans to determine supportability and execute deployment tasking.</w:t>
            </w:r>
          </w:p>
          <w:p w14:paraId="18F6AFF4" w14:textId="6AE2EDD0" w:rsidR="00FC373D" w:rsidRPr="008C7192" w:rsidRDefault="00FC373D" w:rsidP="00FC373D">
            <w:pPr>
              <w:pStyle w:val="Default"/>
              <w:jc w:val="both"/>
              <w:rPr>
                <w:bCs/>
                <w:sz w:val="22"/>
                <w:szCs w:val="22"/>
              </w:rPr>
            </w:pPr>
            <w:r w:rsidRPr="008C7192">
              <w:rPr>
                <w:bCs/>
                <w:sz w:val="22"/>
                <w:szCs w:val="22"/>
              </w:rPr>
              <w:t xml:space="preserve">2. </w:t>
            </w:r>
            <w:r w:rsidR="00D55AD3" w:rsidRPr="008C7192">
              <w:rPr>
                <w:bCs/>
                <w:sz w:val="22"/>
                <w:szCs w:val="22"/>
              </w:rPr>
              <w:t>Conducts logistics feasibility analysis associated with National Defense, Air Force missions, and Homeland Security to provide recommendations regarding strategic and long-range planning. Writes after action reports using data collected outlining limiting factors, findings, and recommendations to support decisions. Establishes processes that facilitate tasks that define capabilities to support essential functions i.e. operational, combat support and service support organizations. Identifies limiting factors, constraints, resources, and capabilities that are allocated to support a range of military operations resulting in a BSP Part I/Expeditionary Part I and II plan.</w:t>
            </w:r>
          </w:p>
          <w:p w14:paraId="02330A9D" w14:textId="77777777" w:rsidR="00D55AD3" w:rsidRPr="008C7192" w:rsidRDefault="00D55AD3" w:rsidP="00FC373D">
            <w:pPr>
              <w:pStyle w:val="Default"/>
              <w:jc w:val="both"/>
              <w:rPr>
                <w:bCs/>
                <w:sz w:val="22"/>
                <w:szCs w:val="22"/>
              </w:rPr>
            </w:pPr>
            <w:r w:rsidRPr="008C7192">
              <w:rPr>
                <w:bCs/>
                <w:sz w:val="22"/>
                <w:szCs w:val="22"/>
              </w:rPr>
              <w:t xml:space="preserve">3. </w:t>
            </w:r>
            <w:r w:rsidR="00F254EE" w:rsidRPr="008C7192">
              <w:rPr>
                <w:bCs/>
                <w:sz w:val="22"/>
                <w:szCs w:val="22"/>
              </w:rPr>
              <w:t>Prepare organizations to support deployment, redeployment, and reception activities which include activating logistics C2 centers, conducting movement and support meetings. Also, facilitates unit cargo/personnel preparation by identifying shipping/handling and personnel training requirements. Logistics C2 support will vary based on unit location, however, these activities play a major role in synchronizing support functions.</w:t>
            </w:r>
          </w:p>
          <w:p w14:paraId="608A86F8" w14:textId="46BF144D" w:rsidR="005972B8" w:rsidRPr="008C7192" w:rsidRDefault="005972B8" w:rsidP="00FC373D">
            <w:pPr>
              <w:pStyle w:val="Default"/>
              <w:jc w:val="both"/>
              <w:rPr>
                <w:bCs/>
                <w:sz w:val="22"/>
                <w:szCs w:val="22"/>
              </w:rPr>
            </w:pPr>
            <w:r w:rsidRPr="008C7192">
              <w:rPr>
                <w:bCs/>
                <w:sz w:val="22"/>
                <w:szCs w:val="22"/>
              </w:rPr>
              <w:t>4.</w:t>
            </w:r>
            <w:r w:rsidRPr="008C7192">
              <w:rPr>
                <w:rFonts w:ascii="Calibri" w:eastAsia="Calibri" w:hAnsi="Calibri" w:cs="Calibri"/>
                <w:color w:val="auto"/>
                <w:sz w:val="22"/>
                <w:szCs w:val="22"/>
              </w:rPr>
              <w:t xml:space="preserve"> </w:t>
            </w:r>
            <w:r w:rsidRPr="008C7192">
              <w:rPr>
                <w:bCs/>
                <w:sz w:val="22"/>
                <w:szCs w:val="22"/>
              </w:rPr>
              <w:t>Analyzes/evaluates documentation to support WRM management in determining logistics constraints. Provides recommendations, monitor status of deficiencies, preparation, and management of the budget to balance limited resources against operational risk.</w:t>
            </w:r>
          </w:p>
          <w:p w14:paraId="6DEBB7F5" w14:textId="61B49178" w:rsidR="005972B8" w:rsidRPr="008C7192" w:rsidRDefault="005972B8" w:rsidP="00FC373D">
            <w:pPr>
              <w:pStyle w:val="Default"/>
              <w:jc w:val="both"/>
              <w:rPr>
                <w:bCs/>
                <w:sz w:val="22"/>
                <w:szCs w:val="22"/>
              </w:rPr>
            </w:pPr>
            <w:r w:rsidRPr="008C7192">
              <w:rPr>
                <w:bCs/>
                <w:sz w:val="22"/>
                <w:szCs w:val="22"/>
              </w:rPr>
              <w:t xml:space="preserve">5. </w:t>
            </w:r>
            <w:r w:rsidR="008C7192" w:rsidRPr="008C7192">
              <w:rPr>
                <w:bCs/>
                <w:sz w:val="22"/>
                <w:szCs w:val="22"/>
              </w:rPr>
              <w:t>Provides service support through varies types of agreements that are categorized as Intra-Service, Inter-service, Intra-agency, Memorandum of Understanding and Memorandum of Agreement. Eliminates resource duplication where there is a need to provide recurring support to DoD agencies, Air Force units and eligible international organizations.</w:t>
            </w:r>
          </w:p>
          <w:p w14:paraId="0B9D1B66" w14:textId="78A0BFE7" w:rsidR="005972B8" w:rsidRPr="00FC373D" w:rsidRDefault="005972B8" w:rsidP="00FC373D">
            <w:pPr>
              <w:pStyle w:val="Default"/>
              <w:jc w:val="both"/>
              <w:rPr>
                <w:bCs/>
                <w:sz w:val="20"/>
                <w:szCs w:val="20"/>
              </w:rPr>
            </w:pPr>
          </w:p>
        </w:tc>
      </w:tr>
      <w:tr w:rsidR="00A02AF1" w:rsidRPr="00214014" w14:paraId="341262BA" w14:textId="77777777" w:rsidTr="00294E00">
        <w:trPr>
          <w:trHeight w:hRule="exact" w:val="986"/>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30558A62" w14:textId="6E808732" w:rsidR="00A02AF1" w:rsidRPr="00294E00" w:rsidRDefault="00294E00" w:rsidP="00A43F29">
            <w:pPr>
              <w:pStyle w:val="TableParagraph"/>
              <w:rPr>
                <w:rFonts w:ascii="Times New Roman" w:hAnsi="Times New Roman" w:cs="Times New Roman"/>
              </w:rPr>
            </w:pPr>
            <w:r w:rsidRPr="00294E00">
              <w:rPr>
                <w:rFonts w:ascii="Times New Roman" w:hAnsi="Times New Roman" w:cs="Times New Roman"/>
              </w:rPr>
              <w:t xml:space="preserve">Must be able to attain and maintain SECRET/SCI clearance. </w:t>
            </w: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00252D">
        <w:trPr>
          <w:trHeight w:hRule="exact" w:val="1166"/>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7AA7BDB8" w14:textId="77777777" w:rsidR="00FC342C" w:rsidRDefault="00FC342C" w:rsidP="00B26C7A">
            <w:pPr>
              <w:pStyle w:val="TableParagraph"/>
              <w:jc w:val="center"/>
              <w:rPr>
                <w:rFonts w:ascii="Times New Roman" w:hAnsi="Times New Roman" w:cs="Times New Roman"/>
                <w:b/>
                <w:color w:val="0070C0"/>
                <w:sz w:val="24"/>
              </w:rPr>
            </w:pPr>
          </w:p>
          <w:p w14:paraId="51D31D17" w14:textId="77777777" w:rsidR="00320F83" w:rsidRPr="00320F83" w:rsidRDefault="00320F83" w:rsidP="00320F83">
            <w:pPr>
              <w:pStyle w:val="TableParagraph"/>
              <w:rPr>
                <w:rFonts w:ascii="Times New Roman" w:hAnsi="Times New Roman" w:cs="Times New Roman"/>
                <w:b/>
                <w:color w:val="0070C0"/>
                <w:sz w:val="24"/>
              </w:rPr>
            </w:pPr>
            <w:r w:rsidRPr="00320F83">
              <w:rPr>
                <w:rFonts w:ascii="Times New Roman" w:hAnsi="Times New Roman" w:cs="Times New Roman"/>
                <w:b/>
                <w:color w:val="0070C0"/>
                <w:sz w:val="24"/>
              </w:rPr>
              <w:t>Please Contact the Recruiting Office @ 315-233-2159 / 315-807-9433 For Qualification and Eligibility Questions.</w:t>
            </w:r>
          </w:p>
          <w:p w14:paraId="5262A15A" w14:textId="0BF2CCC0" w:rsidR="00EF6959" w:rsidRDefault="00EF6959"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4DEB" w14:textId="77777777" w:rsidR="00C90611" w:rsidRDefault="00C90611">
      <w:r>
        <w:separator/>
      </w:r>
    </w:p>
  </w:endnote>
  <w:endnote w:type="continuationSeparator" w:id="0">
    <w:p w14:paraId="1BE73540" w14:textId="77777777" w:rsidR="00C90611" w:rsidRDefault="00C9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44D8" w14:textId="77777777" w:rsidR="00C90611" w:rsidRDefault="00C90611">
      <w:r>
        <w:separator/>
      </w:r>
    </w:p>
  </w:footnote>
  <w:footnote w:type="continuationSeparator" w:id="0">
    <w:p w14:paraId="29557C3A" w14:textId="77777777" w:rsidR="00C90611" w:rsidRDefault="00C9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4D667731"/>
    <w:multiLevelType w:val="hybridMultilevel"/>
    <w:tmpl w:val="E6A2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6885872">
    <w:abstractNumId w:val="3"/>
  </w:num>
  <w:num w:numId="2" w16cid:durableId="251474614">
    <w:abstractNumId w:val="1"/>
  </w:num>
  <w:num w:numId="3" w16cid:durableId="1893811160">
    <w:abstractNumId w:val="7"/>
  </w:num>
  <w:num w:numId="4" w16cid:durableId="1697345140">
    <w:abstractNumId w:val="5"/>
  </w:num>
  <w:num w:numId="5" w16cid:durableId="578058031">
    <w:abstractNumId w:val="0"/>
  </w:num>
  <w:num w:numId="6" w16cid:durableId="1551574701">
    <w:abstractNumId w:val="2"/>
  </w:num>
  <w:num w:numId="7" w16cid:durableId="1582132251">
    <w:abstractNumId w:val="6"/>
  </w:num>
  <w:num w:numId="8" w16cid:durableId="802193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252D"/>
    <w:rsid w:val="000655E8"/>
    <w:rsid w:val="00077C71"/>
    <w:rsid w:val="000F5465"/>
    <w:rsid w:val="00126F33"/>
    <w:rsid w:val="00156881"/>
    <w:rsid w:val="00177C66"/>
    <w:rsid w:val="0018343D"/>
    <w:rsid w:val="00186BFC"/>
    <w:rsid w:val="001E03C5"/>
    <w:rsid w:val="002011E6"/>
    <w:rsid w:val="00204E8A"/>
    <w:rsid w:val="00214014"/>
    <w:rsid w:val="00235210"/>
    <w:rsid w:val="002355C0"/>
    <w:rsid w:val="00255CF1"/>
    <w:rsid w:val="00294E00"/>
    <w:rsid w:val="003017FD"/>
    <w:rsid w:val="00320F83"/>
    <w:rsid w:val="00324C19"/>
    <w:rsid w:val="003B72F6"/>
    <w:rsid w:val="003F2B77"/>
    <w:rsid w:val="00403E9C"/>
    <w:rsid w:val="00404A5A"/>
    <w:rsid w:val="004204A7"/>
    <w:rsid w:val="0046007C"/>
    <w:rsid w:val="00461A3C"/>
    <w:rsid w:val="004A65CE"/>
    <w:rsid w:val="004C0EA4"/>
    <w:rsid w:val="004F20F3"/>
    <w:rsid w:val="00535B9D"/>
    <w:rsid w:val="005477D6"/>
    <w:rsid w:val="00556AF6"/>
    <w:rsid w:val="0058233C"/>
    <w:rsid w:val="005972B8"/>
    <w:rsid w:val="005A4332"/>
    <w:rsid w:val="005C126F"/>
    <w:rsid w:val="0061679B"/>
    <w:rsid w:val="006362C2"/>
    <w:rsid w:val="00692C4E"/>
    <w:rsid w:val="006B04F4"/>
    <w:rsid w:val="006E46BB"/>
    <w:rsid w:val="00720948"/>
    <w:rsid w:val="0073383C"/>
    <w:rsid w:val="00745811"/>
    <w:rsid w:val="00752BCA"/>
    <w:rsid w:val="007D797B"/>
    <w:rsid w:val="00815591"/>
    <w:rsid w:val="00834807"/>
    <w:rsid w:val="008357FC"/>
    <w:rsid w:val="00854363"/>
    <w:rsid w:val="00857996"/>
    <w:rsid w:val="008C7192"/>
    <w:rsid w:val="008D6D3F"/>
    <w:rsid w:val="008E1DE2"/>
    <w:rsid w:val="00987FAF"/>
    <w:rsid w:val="00A02AF1"/>
    <w:rsid w:val="00A03944"/>
    <w:rsid w:val="00A345AC"/>
    <w:rsid w:val="00A4072C"/>
    <w:rsid w:val="00A43F29"/>
    <w:rsid w:val="00A55051"/>
    <w:rsid w:val="00A8002E"/>
    <w:rsid w:val="00A8161F"/>
    <w:rsid w:val="00A85B1A"/>
    <w:rsid w:val="00AA3EFC"/>
    <w:rsid w:val="00AB101F"/>
    <w:rsid w:val="00AB23B0"/>
    <w:rsid w:val="00AB46A2"/>
    <w:rsid w:val="00AB6376"/>
    <w:rsid w:val="00AD4E28"/>
    <w:rsid w:val="00B26C7A"/>
    <w:rsid w:val="00B65656"/>
    <w:rsid w:val="00B9116F"/>
    <w:rsid w:val="00BB0FEA"/>
    <w:rsid w:val="00BC4C85"/>
    <w:rsid w:val="00BE0D5C"/>
    <w:rsid w:val="00BF3E0F"/>
    <w:rsid w:val="00C3321F"/>
    <w:rsid w:val="00C560C7"/>
    <w:rsid w:val="00C65448"/>
    <w:rsid w:val="00C82BAB"/>
    <w:rsid w:val="00C83338"/>
    <w:rsid w:val="00C90611"/>
    <w:rsid w:val="00D55AD3"/>
    <w:rsid w:val="00D56259"/>
    <w:rsid w:val="00D95F36"/>
    <w:rsid w:val="00D96363"/>
    <w:rsid w:val="00DB50A9"/>
    <w:rsid w:val="00EB1ECB"/>
    <w:rsid w:val="00ED1E28"/>
    <w:rsid w:val="00EF6959"/>
    <w:rsid w:val="00F00C58"/>
    <w:rsid w:val="00F2440C"/>
    <w:rsid w:val="00F254EE"/>
    <w:rsid w:val="00F631D2"/>
    <w:rsid w:val="00F90652"/>
    <w:rsid w:val="00FB41E6"/>
    <w:rsid w:val="00FC342C"/>
    <w:rsid w:val="00FC373D"/>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2" ma:contentTypeDescription="Create a new document." ma:contentTypeScope="" ma:versionID="ceb5d9215d47cb8fa8f7a7d01c32f193">
  <xsd:schema xmlns:xsd="http://www.w3.org/2001/XMLSchema" xmlns:xs="http://www.w3.org/2001/XMLSchema" xmlns:p="http://schemas.microsoft.com/office/2006/metadata/properties" xmlns:ns2="5cbc5380-8526-4b75-b7e7-62ae2721191c" targetNamespace="http://schemas.microsoft.com/office/2006/metadata/properties" ma:root="true" ma:fieldsID="4cc91b9fc5c60ad65581541d16839495" ns2:_="">
    <xsd:import namespace="5cbc5380-8526-4b75-b7e7-62ae272119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07E610DB-02DB-42A1-ABA0-D67E15E7C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c5380-8526-4b75-b7e7-62ae2721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6</cp:revision>
  <dcterms:created xsi:type="dcterms:W3CDTF">2024-04-18T14:31:00Z</dcterms:created>
  <dcterms:modified xsi:type="dcterms:W3CDTF">2024-04-30T15:07:00Z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