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315D5E45"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2B2D2D">
              <w:rPr>
                <w:rFonts w:ascii="Times New Roman" w:hAnsi="Times New Roman" w:cs="Times New Roman"/>
                <w:sz w:val="24"/>
                <w:szCs w:val="24"/>
              </w:rPr>
              <w:t>FY 2</w:t>
            </w:r>
            <w:r w:rsidR="00757711" w:rsidRPr="002B2D2D">
              <w:rPr>
                <w:rFonts w:ascii="Times New Roman" w:hAnsi="Times New Roman" w:cs="Times New Roman"/>
                <w:sz w:val="24"/>
                <w:szCs w:val="24"/>
              </w:rPr>
              <w:t>5</w:t>
            </w:r>
            <w:r w:rsidR="00692C4E" w:rsidRPr="002B2D2D">
              <w:rPr>
                <w:rFonts w:ascii="Times New Roman" w:hAnsi="Times New Roman" w:cs="Times New Roman"/>
                <w:sz w:val="24"/>
                <w:szCs w:val="24"/>
              </w:rPr>
              <w:t>-</w:t>
            </w:r>
            <w:r w:rsidR="002B2D2D" w:rsidRPr="002B2D2D">
              <w:rPr>
                <w:rFonts w:ascii="Times New Roman" w:hAnsi="Times New Roman" w:cs="Times New Roman"/>
                <w:sz w:val="24"/>
                <w:szCs w:val="24"/>
              </w:rPr>
              <w:t>15</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2B163D00"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2B2D2D" w:rsidRPr="002B2D2D">
              <w:rPr>
                <w:rFonts w:ascii="Times New Roman" w:hAnsi="Times New Roman" w:cs="Times New Roman"/>
                <w:bCs/>
                <w:sz w:val="24"/>
                <w:szCs w:val="20"/>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2CB3B864" w:rsidR="00A02AF1" w:rsidRPr="00214014" w:rsidRDefault="00A8161F" w:rsidP="00692C4E">
            <w:pPr>
              <w:pStyle w:val="TableParagraph"/>
              <w:ind w:left="86"/>
              <w:rPr>
                <w:rFonts w:ascii="Times New Roman" w:hAnsi="Times New Roman" w:cs="Times New Roman"/>
                <w:sz w:val="28"/>
              </w:rPr>
            </w:pPr>
            <w:r w:rsidRPr="00B526F1">
              <w:rPr>
                <w:rFonts w:ascii="Times New Roman" w:hAnsi="Times New Roman" w:cs="Times New Roman"/>
                <w:b/>
                <w:sz w:val="28"/>
              </w:rPr>
              <w:t>UNIT: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Squadron </w:t>
            </w:r>
          </w:p>
        </w:tc>
        <w:tc>
          <w:tcPr>
            <w:tcW w:w="5848" w:type="dxa"/>
            <w:tcBorders>
              <w:right w:val="single" w:sz="12" w:space="0" w:color="000000"/>
            </w:tcBorders>
          </w:tcPr>
          <w:p w14:paraId="645B4822" w14:textId="4F59696F" w:rsidR="00A02AF1" w:rsidRPr="00B526F1" w:rsidRDefault="00A8161F" w:rsidP="006E46BB">
            <w:pPr>
              <w:pStyle w:val="TableParagraph"/>
              <w:ind w:left="86"/>
              <w:rPr>
                <w:rFonts w:ascii="Times New Roman" w:hAnsi="Times New Roman" w:cs="Times New Roman"/>
                <w:sz w:val="24"/>
                <w:szCs w:val="24"/>
              </w:rPr>
            </w:pPr>
            <w:r w:rsidRPr="00B526F1">
              <w:rPr>
                <w:rFonts w:ascii="Times New Roman" w:hAnsi="Times New Roman" w:cs="Times New Roman"/>
                <w:b/>
                <w:sz w:val="28"/>
              </w:rPr>
              <w:t>AFSC:</w:t>
            </w:r>
            <w:r w:rsidR="00F00C58" w:rsidRPr="00B526F1">
              <w:rPr>
                <w:rFonts w:ascii="Times New Roman" w:hAnsi="Times New Roman" w:cs="Times New Roman"/>
                <w:b/>
                <w:sz w:val="28"/>
              </w:rPr>
              <w:t xml:space="preserve"> </w:t>
            </w:r>
            <w:r w:rsidR="000D4253" w:rsidRPr="00B526F1">
              <w:rPr>
                <w:rFonts w:ascii="Times New Roman" w:hAnsi="Times New Roman" w:cs="Times New Roman"/>
                <w:sz w:val="24"/>
                <w:szCs w:val="24"/>
              </w:rPr>
              <w:t>2A</w:t>
            </w:r>
            <w:r w:rsidR="00757711" w:rsidRPr="00B526F1">
              <w:rPr>
                <w:rFonts w:ascii="Times New Roman" w:hAnsi="Times New Roman" w:cs="Times New Roman"/>
                <w:sz w:val="24"/>
                <w:szCs w:val="24"/>
              </w:rPr>
              <w:t>7X</w:t>
            </w:r>
            <w:r w:rsidR="00B526F1" w:rsidRPr="00B526F1">
              <w:rPr>
                <w:rFonts w:ascii="Times New Roman" w:hAnsi="Times New Roman" w:cs="Times New Roman"/>
                <w:sz w:val="24"/>
                <w:szCs w:val="24"/>
              </w:rPr>
              <w:t>3</w:t>
            </w:r>
          </w:p>
          <w:p w14:paraId="1CEB2C07" w14:textId="376D1ADC" w:rsidR="005A4332" w:rsidRPr="00214014" w:rsidRDefault="005A4332" w:rsidP="006E46BB">
            <w:pPr>
              <w:pStyle w:val="TableParagraph"/>
              <w:ind w:left="86"/>
              <w:rPr>
                <w:rFonts w:ascii="Times New Roman" w:hAnsi="Times New Roman" w:cs="Times New Roman"/>
                <w:sz w:val="28"/>
              </w:rPr>
            </w:pPr>
            <w:r w:rsidRPr="00B526F1">
              <w:rPr>
                <w:rFonts w:ascii="Times New Roman" w:hAnsi="Times New Roman" w:cs="Times New Roman"/>
                <w:b/>
                <w:sz w:val="28"/>
              </w:rPr>
              <w:t>RANK:</w:t>
            </w:r>
            <w:r w:rsidR="00C560C7" w:rsidRPr="00B526F1">
              <w:rPr>
                <w:rFonts w:ascii="Times New Roman" w:hAnsi="Times New Roman" w:cs="Times New Roman"/>
                <w:sz w:val="28"/>
              </w:rPr>
              <w:t xml:space="preserve">  </w:t>
            </w:r>
            <w:r w:rsidR="00B526F1" w:rsidRPr="00B526F1">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B526F1">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5DA39B4C" w14:textId="77777777" w:rsidR="00593091" w:rsidRDefault="00593091" w:rsidP="00A43F29">
            <w:pPr>
              <w:pStyle w:val="TableParagraph"/>
              <w:ind w:left="86"/>
              <w:rPr>
                <w:rFonts w:ascii="Times New Roman" w:hAnsi="Times New Roman" w:cs="Times New Roman"/>
                <w:sz w:val="28"/>
              </w:rPr>
            </w:pPr>
          </w:p>
          <w:p w14:paraId="73F6A185" w14:textId="76B7D14C" w:rsidR="00F00C58" w:rsidRPr="00C45F14" w:rsidRDefault="00C45F14" w:rsidP="00A43F29">
            <w:pPr>
              <w:pStyle w:val="TableParagraph"/>
              <w:ind w:left="86"/>
              <w:jc w:val="center"/>
              <w:rPr>
                <w:rFonts w:ascii="Times New Roman" w:hAnsi="Times New Roman" w:cs="Times New Roman"/>
                <w:sz w:val="28"/>
              </w:rPr>
            </w:pPr>
            <w:r w:rsidRPr="00C45F14">
              <w:t>AIRCRAFT STRUCTURAL MAINTENANCE</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C45F14">
              <w:rPr>
                <w:rFonts w:ascii="Times New Roman" w:hAnsi="Times New Roman" w:cs="Times New Roman"/>
                <w:b/>
                <w:sz w:val="28"/>
              </w:rPr>
              <w:t>SPECIALTY</w:t>
            </w:r>
            <w:r w:rsidRPr="00C45F14">
              <w:rPr>
                <w:rFonts w:ascii="Times New Roman" w:hAnsi="Times New Roman" w:cs="Times New Roman"/>
                <w:b/>
                <w:spacing w:val="-5"/>
                <w:sz w:val="28"/>
              </w:rPr>
              <w:t xml:space="preserve"> </w:t>
            </w:r>
            <w:r w:rsidRPr="00C45F14">
              <w:rPr>
                <w:rFonts w:ascii="Times New Roman" w:hAnsi="Times New Roman" w:cs="Times New Roman"/>
                <w:b/>
                <w:sz w:val="28"/>
              </w:rPr>
              <w:t>SUMMARY</w:t>
            </w:r>
          </w:p>
          <w:p w14:paraId="63305608" w14:textId="32AC31AE" w:rsidR="00C45F14" w:rsidRPr="00C45F14" w:rsidRDefault="00A8161F" w:rsidP="00C45F14">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757711">
              <w:rPr>
                <w:rFonts w:ascii="Times New Roman" w:hAnsi="Times New Roman" w:cs="Times New Roman"/>
                <w:sz w:val="24"/>
                <w:szCs w:val="24"/>
              </w:rPr>
              <w:t>4</w:t>
            </w:r>
            <w:r w:rsidRPr="00255CF1">
              <w:rPr>
                <w:rFonts w:ascii="Times New Roman" w:hAnsi="Times New Roman" w:cs="Times New Roman"/>
                <w:sz w:val="24"/>
                <w:szCs w:val="24"/>
              </w:rPr>
              <w:t>)</w:t>
            </w:r>
          </w:p>
          <w:p w14:paraId="506165DE" w14:textId="77777777" w:rsidR="00C45F14" w:rsidRPr="00C45F14" w:rsidRDefault="00C45F14" w:rsidP="00C45F14">
            <w:pPr>
              <w:widowControl/>
              <w:adjustRightInd w:val="0"/>
              <w:rPr>
                <w:rFonts w:ascii="Times New Roman" w:hAnsi="Times New Roman" w:cs="Times New Roman"/>
                <w:sz w:val="24"/>
                <w:szCs w:val="24"/>
              </w:rPr>
            </w:pPr>
            <w:r w:rsidRPr="00C45F14">
              <w:rPr>
                <w:rFonts w:ascii="Times New Roman" w:hAnsi="Times New Roman" w:cs="Times New Roman"/>
              </w:rPr>
              <w:t xml:space="preserve">Designs, repairs, modifies, and fabricates aircraft, metal, plastic, composite, advanced composite, low observables (LO) coatings, and bonded structural parts and components. Evaluates, installs, removes, and repairs LO coatings. Applies corrosion preservative treatments to aircraft, missiles, and support equipment (SE). Related DoD Occupational Subgroup: 160300. </w:t>
            </w:r>
          </w:p>
          <w:p w14:paraId="1591E405" w14:textId="77777777" w:rsidR="00235210" w:rsidRPr="00A85B1A" w:rsidRDefault="00235210" w:rsidP="00757711">
            <w:pPr>
              <w:widowControl/>
              <w:adjustRightInd w:val="0"/>
            </w:pP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DUTIES AND RESPONSIBILITIES</w:t>
            </w:r>
          </w:p>
          <w:p w14:paraId="15D1D21C" w14:textId="77777777" w:rsidR="00654DAA" w:rsidRPr="00654DAA" w:rsidRDefault="00654DAA" w:rsidP="00654DAA">
            <w:pPr>
              <w:widowControl/>
              <w:adjustRightInd w:val="0"/>
              <w:rPr>
                <w:rFonts w:ascii="Times New Roman" w:eastAsiaTheme="minorHAnsi" w:hAnsi="Times New Roman" w:cs="Times New Roman"/>
                <w:bCs/>
                <w:sz w:val="24"/>
              </w:rPr>
            </w:pPr>
          </w:p>
          <w:p w14:paraId="2D7648AD" w14:textId="77777777" w:rsidR="00654DAA" w:rsidRPr="00654DAA" w:rsidRDefault="00654DAA" w:rsidP="00654DAA">
            <w:pPr>
              <w:widowControl/>
              <w:adjustRightInd w:val="0"/>
              <w:rPr>
                <w:rFonts w:ascii="Times New Roman" w:eastAsiaTheme="minorHAnsi" w:hAnsi="Times New Roman" w:cs="Times New Roman"/>
                <w:bCs/>
                <w:szCs w:val="20"/>
              </w:rPr>
            </w:pPr>
            <w:r w:rsidRPr="00654DAA">
              <w:rPr>
                <w:rFonts w:ascii="Times New Roman" w:eastAsiaTheme="minorHAnsi" w:hAnsi="Times New Roman" w:cs="Times New Roman"/>
                <w:bCs/>
                <w:szCs w:val="20"/>
              </w:rPr>
              <w:t xml:space="preserve">2.1. Assembles and repairs structural and LO parts and components to meet requirements for preserving structural integrity and LO qualities. Assesses damage to aircraft structural components and LO coatings. Applies LO materials and coatings to aircraft. Assesses damage impacts to aircraft signatures. Performs assembly and repair on aircraft structures using special fasteners and adhesives. Inspects standard structural and LO repairs to ensure compliance with technical data specifications. Advises on structural and LO repair, modification, and corrosion protection treatment with respect to original strength, weight, and contour to maintain structural and LO integrity. Ensures aircraft component weight and balance is maintained. Inspects repairs for serviceability according to specifications and technical publications. Manufactures jigs, fixtures, forms, and molds. Uses metalworking equipment and tools to form, cut, bend, and fasten replacement or repair parts to damaged structures and components. Fabricates, repairs, and assembles cable and tubing assemblies for aerospace weapon systems and AGE/(SE). Maintains and inspects tools and equipment. Performs operator maintenance and service inspections on shop equipment and tools. Ensures lockout and tagout procedures are accomplished prior to performing shop equipment maintenance. Stores, handles, and disposes of hazardous waste and materials according to environmental standards. </w:t>
            </w:r>
          </w:p>
          <w:p w14:paraId="6A187D90" w14:textId="77777777" w:rsidR="00654DAA" w:rsidRPr="00654DAA" w:rsidRDefault="00654DAA" w:rsidP="00654DAA">
            <w:pPr>
              <w:widowControl/>
              <w:adjustRightInd w:val="0"/>
              <w:rPr>
                <w:rFonts w:ascii="Times New Roman" w:eastAsiaTheme="minorHAnsi" w:hAnsi="Times New Roman" w:cs="Times New Roman"/>
                <w:bCs/>
                <w:sz w:val="24"/>
              </w:rPr>
            </w:pPr>
          </w:p>
          <w:p w14:paraId="2EECB5C6" w14:textId="77777777" w:rsidR="00757711" w:rsidRPr="00757711" w:rsidRDefault="00757711" w:rsidP="00757711">
            <w:pPr>
              <w:widowControl/>
              <w:adjustRightInd w:val="0"/>
              <w:rPr>
                <w:rFonts w:ascii="Times New Roman" w:eastAsiaTheme="minorHAnsi" w:hAnsi="Times New Roman" w:cs="Times New Roman"/>
                <w:b/>
                <w:sz w:val="28"/>
                <w:szCs w:val="24"/>
              </w:rPr>
            </w:pPr>
          </w:p>
          <w:p w14:paraId="0B9D1B66" w14:textId="77777777" w:rsidR="00B26C7A" w:rsidRDefault="00B26C7A" w:rsidP="00757711">
            <w:pPr>
              <w:widowControl/>
              <w:adjustRightInd w:val="0"/>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11059" w14:textId="77777777" w:rsidR="0079152C" w:rsidRDefault="0079152C">
      <w:r>
        <w:separator/>
      </w:r>
    </w:p>
  </w:endnote>
  <w:endnote w:type="continuationSeparator" w:id="0">
    <w:p w14:paraId="0E72CD0A" w14:textId="77777777" w:rsidR="0079152C" w:rsidRDefault="0079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27B8" w14:textId="77777777" w:rsidR="0079152C" w:rsidRDefault="0079152C">
      <w:r>
        <w:separator/>
      </w:r>
    </w:p>
  </w:footnote>
  <w:footnote w:type="continuationSeparator" w:id="0">
    <w:p w14:paraId="6DCF8F48" w14:textId="77777777" w:rsidR="0079152C" w:rsidRDefault="0079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549795">
    <w:abstractNumId w:val="3"/>
  </w:num>
  <w:num w:numId="2" w16cid:durableId="120611684">
    <w:abstractNumId w:val="1"/>
  </w:num>
  <w:num w:numId="3" w16cid:durableId="2027056513">
    <w:abstractNumId w:val="6"/>
  </w:num>
  <w:num w:numId="4" w16cid:durableId="2094080677">
    <w:abstractNumId w:val="4"/>
  </w:num>
  <w:num w:numId="5" w16cid:durableId="1886093209">
    <w:abstractNumId w:val="0"/>
  </w:num>
  <w:num w:numId="6" w16cid:durableId="1889418194">
    <w:abstractNumId w:val="2"/>
  </w:num>
  <w:num w:numId="7" w16cid:durableId="60674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D4253"/>
    <w:rsid w:val="000F5465"/>
    <w:rsid w:val="00115516"/>
    <w:rsid w:val="00126F33"/>
    <w:rsid w:val="00156881"/>
    <w:rsid w:val="00177C66"/>
    <w:rsid w:val="0018343D"/>
    <w:rsid w:val="001C7E45"/>
    <w:rsid w:val="001E03C5"/>
    <w:rsid w:val="002011E6"/>
    <w:rsid w:val="00204E8A"/>
    <w:rsid w:val="00214014"/>
    <w:rsid w:val="00235210"/>
    <w:rsid w:val="002355C0"/>
    <w:rsid w:val="00255CF1"/>
    <w:rsid w:val="002B2D2D"/>
    <w:rsid w:val="002E7F12"/>
    <w:rsid w:val="003017FD"/>
    <w:rsid w:val="00324C19"/>
    <w:rsid w:val="003B72F6"/>
    <w:rsid w:val="003F2B77"/>
    <w:rsid w:val="00403E9C"/>
    <w:rsid w:val="00404A5A"/>
    <w:rsid w:val="0041320B"/>
    <w:rsid w:val="0046007C"/>
    <w:rsid w:val="00461A3C"/>
    <w:rsid w:val="004A65CE"/>
    <w:rsid w:val="004F20F3"/>
    <w:rsid w:val="00533166"/>
    <w:rsid w:val="00535B9D"/>
    <w:rsid w:val="005477D6"/>
    <w:rsid w:val="00556AF6"/>
    <w:rsid w:val="0058233C"/>
    <w:rsid w:val="00593091"/>
    <w:rsid w:val="005A4332"/>
    <w:rsid w:val="005C126F"/>
    <w:rsid w:val="0061679B"/>
    <w:rsid w:val="006362C2"/>
    <w:rsid w:val="00654DAA"/>
    <w:rsid w:val="00692C4E"/>
    <w:rsid w:val="006B04F4"/>
    <w:rsid w:val="006E46BB"/>
    <w:rsid w:val="00720948"/>
    <w:rsid w:val="0073383C"/>
    <w:rsid w:val="00752BCA"/>
    <w:rsid w:val="00757711"/>
    <w:rsid w:val="0079152C"/>
    <w:rsid w:val="007D797B"/>
    <w:rsid w:val="00834807"/>
    <w:rsid w:val="00857996"/>
    <w:rsid w:val="00896577"/>
    <w:rsid w:val="008D6D3F"/>
    <w:rsid w:val="008E1DE2"/>
    <w:rsid w:val="00987FAF"/>
    <w:rsid w:val="009C7E0B"/>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526F1"/>
    <w:rsid w:val="00B65656"/>
    <w:rsid w:val="00B85A4D"/>
    <w:rsid w:val="00B9765F"/>
    <w:rsid w:val="00BB0FEA"/>
    <w:rsid w:val="00BE0D5C"/>
    <w:rsid w:val="00BF3E0F"/>
    <w:rsid w:val="00C3321F"/>
    <w:rsid w:val="00C45F14"/>
    <w:rsid w:val="00C560C7"/>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DAINTREE, FAITH J TSgt US Air Force ANG 174 MXG/CSS</cp:lastModifiedBy>
  <cp:revision>7</cp:revision>
  <dcterms:created xsi:type="dcterms:W3CDTF">2024-12-23T18:38:00Z</dcterms:created>
  <dcterms:modified xsi:type="dcterms:W3CDTF">2024-12-23T18:41:00Z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