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0D7A02" w:rsidRDefault="00F67E3B" w:rsidP="00F67E3B"/>
    <w:tbl>
      <w:tblPr>
        <w:tblW w:w="11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3060"/>
        <w:gridCol w:w="3330"/>
      </w:tblGrid>
      <w:tr w:rsidR="00F67E3B" w:rsidRPr="000D7A02" w14:paraId="7694C41D" w14:textId="77777777" w:rsidTr="00D97D60">
        <w:trPr>
          <w:cantSplit/>
          <w:trHeight w:val="800"/>
        </w:trPr>
        <w:tc>
          <w:tcPr>
            <w:tcW w:w="1170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7694C41A" w14:textId="2FD22EBD" w:rsidR="00F67E3B" w:rsidRPr="00C2667D" w:rsidRDefault="00BB6E0F">
            <w:pPr>
              <w:jc w:val="center"/>
              <w:rPr>
                <w:b/>
                <w:sz w:val="36"/>
              </w:rPr>
            </w:pPr>
            <w:r>
              <w:rPr>
                <w:b/>
                <w:sz w:val="36"/>
              </w:rPr>
              <w:t xml:space="preserve">109 </w:t>
            </w:r>
            <w:r w:rsidR="00843688">
              <w:rPr>
                <w:b/>
                <w:sz w:val="36"/>
              </w:rPr>
              <w:t xml:space="preserve">AW </w:t>
            </w:r>
            <w:r w:rsidR="00F74A02">
              <w:rPr>
                <w:b/>
                <w:sz w:val="36"/>
              </w:rPr>
              <w:t xml:space="preserve">Aerospace </w:t>
            </w:r>
            <w:r w:rsidR="00AE3EA8">
              <w:rPr>
                <w:b/>
                <w:sz w:val="36"/>
              </w:rPr>
              <w:t>Propulsion</w:t>
            </w:r>
            <w:r w:rsidR="007B2C0A">
              <w:rPr>
                <w:b/>
                <w:sz w:val="36"/>
              </w:rPr>
              <w:t xml:space="preserve"> </w:t>
            </w:r>
            <w:r w:rsidR="00F67E3B" w:rsidRPr="00C2667D">
              <w:rPr>
                <w:b/>
                <w:sz w:val="36"/>
              </w:rPr>
              <w:t xml:space="preserve">Vacancy Announcement </w:t>
            </w:r>
          </w:p>
          <w:p w14:paraId="7694C41C" w14:textId="22C561CE" w:rsidR="00F67E3B" w:rsidRPr="00471B4C" w:rsidRDefault="00F67E3B" w:rsidP="00471B4C">
            <w:pPr>
              <w:jc w:val="center"/>
              <w:rPr>
                <w:sz w:val="32"/>
              </w:rPr>
            </w:pPr>
            <w:proofErr w:type="gramStart"/>
            <w:r w:rsidRPr="00C2667D">
              <w:rPr>
                <w:b/>
                <w:sz w:val="32"/>
              </w:rPr>
              <w:t xml:space="preserve">( </w:t>
            </w:r>
            <w:r w:rsidR="00C2667D" w:rsidRPr="00C2667D">
              <w:rPr>
                <w:b/>
                <w:sz w:val="32"/>
              </w:rPr>
              <w:t>DSG</w:t>
            </w:r>
            <w:proofErr w:type="gramEnd"/>
            <w:r w:rsidR="00C2667D" w:rsidRPr="00C2667D">
              <w:rPr>
                <w:b/>
                <w:sz w:val="32"/>
              </w:rPr>
              <w:t xml:space="preserve"> </w:t>
            </w:r>
            <w:r w:rsidRPr="00C2667D">
              <w:rPr>
                <w:b/>
                <w:sz w:val="32"/>
              </w:rPr>
              <w:t>Enlisted )</w:t>
            </w:r>
          </w:p>
        </w:tc>
      </w:tr>
      <w:tr w:rsidR="00F67E3B" w:rsidRPr="000D7A02" w14:paraId="7694C425" w14:textId="77777777" w:rsidTr="002E012F">
        <w:trPr>
          <w:cantSplit/>
          <w:trHeight w:val="549"/>
        </w:trPr>
        <w:tc>
          <w:tcPr>
            <w:tcW w:w="5310" w:type="dxa"/>
            <w:vMerge w:val="restart"/>
            <w:tcBorders>
              <w:top w:val="single" w:sz="18" w:space="0" w:color="auto"/>
              <w:left w:val="single" w:sz="18" w:space="0" w:color="auto"/>
              <w:bottom w:val="single" w:sz="4" w:space="0" w:color="auto"/>
              <w:right w:val="single" w:sz="12" w:space="0" w:color="auto"/>
            </w:tcBorders>
            <w:vAlign w:val="center"/>
            <w:hideMark/>
          </w:tcPr>
          <w:p w14:paraId="7694C41E" w14:textId="77777777" w:rsidR="00F67E3B" w:rsidRPr="000D7A02" w:rsidRDefault="00F67E3B">
            <w:pPr>
              <w:rPr>
                <w:b/>
                <w:sz w:val="28"/>
              </w:rPr>
            </w:pPr>
            <w:smartTag w:uri="urn:schemas-microsoft-com:office:smarttags" w:element="State">
              <w:smartTag w:uri="urn:schemas-microsoft-com:office:smarttags" w:element="place">
                <w:r w:rsidRPr="000D7A02">
                  <w:rPr>
                    <w:b/>
                    <w:sz w:val="28"/>
                  </w:rPr>
                  <w:t>NEW YORK</w:t>
                </w:r>
              </w:smartTag>
            </w:smartTag>
            <w:r w:rsidRPr="000D7A02">
              <w:rPr>
                <w:b/>
                <w:sz w:val="28"/>
              </w:rPr>
              <w:t xml:space="preserve"> AIR NATIONAL GUARD</w:t>
            </w:r>
          </w:p>
          <w:p w14:paraId="7694C41F" w14:textId="6C994FAF" w:rsidR="00F67E3B" w:rsidRPr="000D7A02" w:rsidRDefault="00347D71">
            <w:r>
              <w:rPr>
                <w:b/>
                <w:sz w:val="28"/>
              </w:rPr>
              <w:t>109</w:t>
            </w:r>
            <w:r w:rsidRPr="00347D71">
              <w:rPr>
                <w:b/>
                <w:sz w:val="28"/>
                <w:vertAlign w:val="superscript"/>
              </w:rPr>
              <w:t>th</w:t>
            </w:r>
            <w:r>
              <w:rPr>
                <w:b/>
                <w:sz w:val="28"/>
              </w:rPr>
              <w:t xml:space="preserve"> </w:t>
            </w:r>
            <w:r w:rsidR="00F67E3B" w:rsidRPr="000D7A02">
              <w:rPr>
                <w:b/>
                <w:sz w:val="28"/>
              </w:rPr>
              <w:t>AIR NATIONAL GUARD BASE</w:t>
            </w:r>
          </w:p>
          <w:p w14:paraId="7694C420" w14:textId="77777777" w:rsidR="00F67E3B" w:rsidRPr="000D7A02" w:rsidRDefault="00F67E3B">
            <w:r w:rsidRPr="000D7A02">
              <w:t>109</w:t>
            </w:r>
            <w:r w:rsidRPr="000D7A02">
              <w:rPr>
                <w:vertAlign w:val="superscript"/>
              </w:rPr>
              <w:t>th</w:t>
            </w:r>
            <w:r w:rsidRPr="000D7A02">
              <w:t xml:space="preserve"> Airlift Wing</w:t>
            </w:r>
          </w:p>
          <w:p w14:paraId="7694C421" w14:textId="77777777" w:rsidR="00F67E3B" w:rsidRPr="000D7A02" w:rsidRDefault="00F67E3B">
            <w:r w:rsidRPr="000D7A02">
              <w:t>Stratton Air National Guard Base</w:t>
            </w:r>
          </w:p>
          <w:p w14:paraId="7694C422" w14:textId="77777777" w:rsidR="00F67E3B" w:rsidRPr="000D7A02" w:rsidRDefault="00F67E3B">
            <w:smartTag w:uri="urn:schemas-microsoft-com:office:smarttags" w:element="place">
              <w:smartTag w:uri="urn:schemas-microsoft-com:office:smarttags" w:element="City">
                <w:r w:rsidRPr="000D7A02">
                  <w:t>Scotia</w:t>
                </w:r>
              </w:smartTag>
              <w:r w:rsidRPr="000D7A02">
                <w:t xml:space="preserve">, </w:t>
              </w:r>
              <w:smartTag w:uri="urn:schemas-microsoft-com:office:smarttags" w:element="State">
                <w:r w:rsidRPr="000D7A02">
                  <w:t>NY</w:t>
                </w:r>
              </w:smartTag>
              <w:r w:rsidRPr="000D7A02">
                <w:t xml:space="preserve"> </w:t>
              </w:r>
              <w:smartTag w:uri="urn:schemas-microsoft-com:office:smarttags" w:element="PostalCode">
                <w:r w:rsidRPr="000D7A02">
                  <w:t>12302-9752</w:t>
                </w:r>
              </w:smartTag>
            </w:smartTag>
          </w:p>
        </w:tc>
        <w:tc>
          <w:tcPr>
            <w:tcW w:w="3060" w:type="dxa"/>
            <w:tcBorders>
              <w:top w:val="nil"/>
              <w:left w:val="single" w:sz="12" w:space="0" w:color="auto"/>
              <w:bottom w:val="single" w:sz="12" w:space="0" w:color="auto"/>
              <w:right w:val="single" w:sz="12" w:space="0" w:color="auto"/>
            </w:tcBorders>
            <w:vAlign w:val="center"/>
            <w:hideMark/>
          </w:tcPr>
          <w:p w14:paraId="7694C423" w14:textId="4A6257D1" w:rsidR="00F67E3B" w:rsidRPr="000D7A02" w:rsidRDefault="00F67E3B">
            <w:r w:rsidRPr="00803235">
              <w:rPr>
                <w:b/>
              </w:rPr>
              <w:t xml:space="preserve">ANNOUNCEMENT NO:   </w:t>
            </w:r>
            <w:r w:rsidR="00203DDE" w:rsidRPr="00803235">
              <w:rPr>
                <w:sz w:val="22"/>
              </w:rPr>
              <w:t xml:space="preserve">       </w:t>
            </w:r>
            <w:r w:rsidRPr="00803235">
              <w:rPr>
                <w:sz w:val="22"/>
              </w:rPr>
              <w:t xml:space="preserve">  </w:t>
            </w:r>
          </w:p>
        </w:tc>
        <w:tc>
          <w:tcPr>
            <w:tcW w:w="3330" w:type="dxa"/>
            <w:tcBorders>
              <w:top w:val="single" w:sz="18" w:space="0" w:color="auto"/>
              <w:left w:val="single" w:sz="12" w:space="0" w:color="auto"/>
              <w:bottom w:val="single" w:sz="12" w:space="0" w:color="auto"/>
              <w:right w:val="single" w:sz="18" w:space="0" w:color="auto"/>
            </w:tcBorders>
            <w:vAlign w:val="center"/>
            <w:hideMark/>
          </w:tcPr>
          <w:p w14:paraId="7694C424" w14:textId="4BC0BA28" w:rsidR="00F67E3B" w:rsidRPr="000D7A02" w:rsidRDefault="00AE3EA8" w:rsidP="00803235">
            <w:pPr>
              <w:jc w:val="center"/>
            </w:pPr>
            <w:r>
              <w:t>23-109-Props</w:t>
            </w:r>
          </w:p>
        </w:tc>
      </w:tr>
      <w:tr w:rsidR="00F67E3B" w:rsidRPr="000D7A02" w14:paraId="7694C429" w14:textId="77777777" w:rsidTr="00CF5637">
        <w:trPr>
          <w:cantSplit/>
          <w:trHeight w:hRule="exact" w:val="486"/>
        </w:trPr>
        <w:tc>
          <w:tcPr>
            <w:tcW w:w="5310" w:type="dxa"/>
            <w:vMerge/>
            <w:tcBorders>
              <w:top w:val="single" w:sz="18" w:space="0" w:color="auto"/>
              <w:left w:val="single" w:sz="18" w:space="0" w:color="auto"/>
              <w:bottom w:val="single" w:sz="4" w:space="0" w:color="auto"/>
              <w:right w:val="single" w:sz="12" w:space="0" w:color="auto"/>
            </w:tcBorders>
            <w:vAlign w:val="center"/>
            <w:hideMark/>
          </w:tcPr>
          <w:p w14:paraId="7694C426" w14:textId="77777777" w:rsidR="00F67E3B" w:rsidRPr="000D7A02" w:rsidRDefault="00F67E3B"/>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27" w14:textId="7044B8D7" w:rsidR="00F67E3B" w:rsidRPr="00803235" w:rsidRDefault="00F67E3B">
            <w:pPr>
              <w:rPr>
                <w:szCs w:val="24"/>
              </w:rPr>
            </w:pPr>
            <w:r w:rsidRPr="00803235">
              <w:rPr>
                <w:b/>
                <w:szCs w:val="24"/>
              </w:rPr>
              <w:t>DATE</w:t>
            </w:r>
            <w:r w:rsidR="006B4971" w:rsidRPr="00803235">
              <w:rPr>
                <w:b/>
                <w:szCs w:val="24"/>
              </w:rPr>
              <w:t xml:space="preserve">: </w:t>
            </w:r>
            <w:r w:rsidR="00AD7353" w:rsidRPr="00803235">
              <w:rPr>
                <w:b/>
                <w:szCs w:val="24"/>
              </w:rPr>
              <w:t xml:space="preserve">   </w:t>
            </w:r>
          </w:p>
        </w:tc>
        <w:tc>
          <w:tcPr>
            <w:tcW w:w="3330" w:type="dxa"/>
            <w:tcBorders>
              <w:top w:val="single" w:sz="6" w:space="0" w:color="auto"/>
              <w:left w:val="single" w:sz="12" w:space="0" w:color="auto"/>
              <w:bottom w:val="single" w:sz="6" w:space="0" w:color="auto"/>
              <w:right w:val="single" w:sz="18" w:space="0" w:color="auto"/>
            </w:tcBorders>
            <w:vAlign w:val="center"/>
            <w:hideMark/>
          </w:tcPr>
          <w:p w14:paraId="7694C428" w14:textId="4486AF8A" w:rsidR="00F67E3B" w:rsidRPr="000D7A02" w:rsidRDefault="00F74A02" w:rsidP="00152B60">
            <w:pPr>
              <w:jc w:val="center"/>
            </w:pPr>
            <w:r>
              <w:t>28 February 2025</w:t>
            </w:r>
          </w:p>
        </w:tc>
      </w:tr>
      <w:tr w:rsidR="00F67E3B" w:rsidRPr="000D7A02" w14:paraId="7694C42D" w14:textId="77777777" w:rsidTr="00CF5637">
        <w:trPr>
          <w:cantSplit/>
          <w:trHeight w:val="369"/>
        </w:trPr>
        <w:tc>
          <w:tcPr>
            <w:tcW w:w="5310" w:type="dxa"/>
            <w:vMerge/>
            <w:tcBorders>
              <w:top w:val="single" w:sz="18" w:space="0" w:color="auto"/>
              <w:left w:val="single" w:sz="18" w:space="0" w:color="auto"/>
              <w:bottom w:val="single" w:sz="12" w:space="0" w:color="auto"/>
              <w:right w:val="single" w:sz="12" w:space="0" w:color="auto"/>
            </w:tcBorders>
            <w:vAlign w:val="center"/>
            <w:hideMark/>
          </w:tcPr>
          <w:p w14:paraId="7694C42A" w14:textId="77777777" w:rsidR="00F67E3B" w:rsidRPr="000D7A02" w:rsidRDefault="00F67E3B"/>
        </w:tc>
        <w:tc>
          <w:tcPr>
            <w:tcW w:w="3060" w:type="dxa"/>
            <w:tcBorders>
              <w:top w:val="single" w:sz="12" w:space="0" w:color="auto"/>
              <w:left w:val="single" w:sz="12" w:space="0" w:color="auto"/>
              <w:bottom w:val="nil"/>
              <w:right w:val="single" w:sz="12" w:space="0" w:color="auto"/>
            </w:tcBorders>
            <w:vAlign w:val="center"/>
            <w:hideMark/>
          </w:tcPr>
          <w:p w14:paraId="7694C42B" w14:textId="29835F7F" w:rsidR="00F67E3B" w:rsidRPr="00AD7353" w:rsidRDefault="006B4971">
            <w:pPr>
              <w:rPr>
                <w:color w:val="FF0000"/>
              </w:rPr>
            </w:pPr>
            <w:r w:rsidRPr="00CE794C">
              <w:rPr>
                <w:b/>
                <w:color w:val="000000" w:themeColor="text1"/>
              </w:rPr>
              <w:t xml:space="preserve">CLOSING DATE:  </w:t>
            </w:r>
          </w:p>
        </w:tc>
        <w:tc>
          <w:tcPr>
            <w:tcW w:w="3330" w:type="dxa"/>
            <w:tcBorders>
              <w:top w:val="single" w:sz="12" w:space="0" w:color="auto"/>
              <w:left w:val="single" w:sz="12" w:space="0" w:color="auto"/>
              <w:bottom w:val="single" w:sz="4" w:space="0" w:color="auto"/>
              <w:right w:val="single" w:sz="18" w:space="0" w:color="auto"/>
            </w:tcBorders>
            <w:vAlign w:val="center"/>
            <w:hideMark/>
          </w:tcPr>
          <w:p w14:paraId="7694C42C" w14:textId="2949F51B" w:rsidR="00F67E3B" w:rsidRPr="00AD7353" w:rsidRDefault="00AE3EA8" w:rsidP="00AE3EA8">
            <w:pPr>
              <w:jc w:val="center"/>
              <w:rPr>
                <w:color w:val="FF0000"/>
              </w:rPr>
            </w:pPr>
            <w:r>
              <w:t xml:space="preserve">Until </w:t>
            </w:r>
            <w:proofErr w:type="gramStart"/>
            <w:r>
              <w:t>Filled</w:t>
            </w:r>
            <w:proofErr w:type="gramEnd"/>
          </w:p>
        </w:tc>
      </w:tr>
      <w:tr w:rsidR="00F67E3B" w:rsidRPr="000D7A02" w14:paraId="7694C432" w14:textId="77777777" w:rsidTr="00CF5637">
        <w:trPr>
          <w:cantSplit/>
          <w:trHeight w:hRule="exact" w:val="813"/>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2E" w14:textId="1EFC557E" w:rsidR="00F67E3B" w:rsidRPr="000D7A02" w:rsidRDefault="00F67E3B">
            <w:r w:rsidRPr="002E012F">
              <w:rPr>
                <w:b/>
              </w:rPr>
              <w:t>UNIT</w:t>
            </w:r>
            <w:r w:rsidRPr="002E012F">
              <w:rPr>
                <w:b/>
                <w:sz w:val="28"/>
              </w:rPr>
              <w:t xml:space="preserve">: </w:t>
            </w:r>
            <w:r w:rsidRPr="002E012F">
              <w:rPr>
                <w:sz w:val="28"/>
              </w:rPr>
              <w:t xml:space="preserve"> </w:t>
            </w:r>
            <w:r w:rsidR="006F04A9" w:rsidRPr="000D7A02">
              <w:t>1</w:t>
            </w:r>
            <w:r w:rsidR="007423B0" w:rsidRPr="000D7A02">
              <w:t>0</w:t>
            </w:r>
            <w:r w:rsidRPr="000D7A02">
              <w:t>9</w:t>
            </w:r>
            <w:r w:rsidRPr="000D7A02">
              <w:rPr>
                <w:vertAlign w:val="superscript"/>
              </w:rPr>
              <w:t>th</w:t>
            </w:r>
            <w:r w:rsidRPr="000D7A02">
              <w:t xml:space="preserve"> </w:t>
            </w:r>
            <w:r w:rsidR="00AE3EA8">
              <w:t>MXG</w:t>
            </w:r>
          </w:p>
          <w:p w14:paraId="7694C42F" w14:textId="77777777" w:rsidR="00F67E3B" w:rsidRPr="000D7A02" w:rsidRDefault="00F67E3B">
            <w:r w:rsidRPr="000D7A02">
              <w:t>Stratton ANGB Scotia, NY 12302-9752</w:t>
            </w:r>
          </w:p>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30" w14:textId="77777777" w:rsidR="00F67E3B" w:rsidRPr="000D7A02" w:rsidRDefault="00F67E3B">
            <w:r w:rsidRPr="002E012F">
              <w:rPr>
                <w:b/>
              </w:rPr>
              <w:t>AFSC</w:t>
            </w:r>
            <w:r w:rsidRPr="000D7A02">
              <w:rPr>
                <w:b/>
                <w:sz w:val="28"/>
              </w:rPr>
              <w:t>:</w:t>
            </w:r>
          </w:p>
        </w:tc>
        <w:tc>
          <w:tcPr>
            <w:tcW w:w="3330" w:type="dxa"/>
            <w:tcBorders>
              <w:top w:val="single" w:sz="12" w:space="0" w:color="auto"/>
              <w:left w:val="single" w:sz="12" w:space="0" w:color="auto"/>
              <w:bottom w:val="single" w:sz="12" w:space="0" w:color="auto"/>
              <w:right w:val="single" w:sz="18" w:space="0" w:color="auto"/>
            </w:tcBorders>
            <w:vAlign w:val="center"/>
            <w:hideMark/>
          </w:tcPr>
          <w:p w14:paraId="7694C431" w14:textId="052A567D" w:rsidR="00F67E3B" w:rsidRPr="000D7A02" w:rsidRDefault="00AE3EA8" w:rsidP="002E012F">
            <w:pPr>
              <w:jc w:val="center"/>
            </w:pPr>
            <w:r>
              <w:t>2A6X1</w:t>
            </w:r>
          </w:p>
        </w:tc>
      </w:tr>
      <w:tr w:rsidR="00F67E3B" w:rsidRPr="00AD7353" w14:paraId="7694C436" w14:textId="77777777" w:rsidTr="00061E0A">
        <w:trPr>
          <w:cantSplit/>
          <w:trHeight w:val="500"/>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33" w14:textId="5E77A99C" w:rsidR="00F67E3B" w:rsidRPr="000D7A02" w:rsidRDefault="00F67E3B">
            <w:r w:rsidRPr="002E012F">
              <w:rPr>
                <w:b/>
              </w:rPr>
              <w:t>MAX AVAILABLE GRADE:</w:t>
            </w:r>
            <w:r w:rsidRPr="002E012F">
              <w:rPr>
                <w:sz w:val="22"/>
              </w:rPr>
              <w:t xml:space="preserve">   </w:t>
            </w:r>
            <w:r w:rsidR="00AE3EA8">
              <w:rPr>
                <w:sz w:val="22"/>
              </w:rPr>
              <w:t>SSgt (E-5)</w:t>
            </w:r>
          </w:p>
        </w:tc>
        <w:tc>
          <w:tcPr>
            <w:tcW w:w="6390" w:type="dxa"/>
            <w:gridSpan w:val="2"/>
            <w:vMerge w:val="restart"/>
            <w:tcBorders>
              <w:top w:val="single" w:sz="4" w:space="0" w:color="auto"/>
              <w:left w:val="single" w:sz="12" w:space="0" w:color="auto"/>
              <w:bottom w:val="single" w:sz="18" w:space="0" w:color="auto"/>
              <w:right w:val="single" w:sz="12" w:space="0" w:color="auto"/>
            </w:tcBorders>
            <w:vAlign w:val="center"/>
            <w:hideMark/>
          </w:tcPr>
          <w:p w14:paraId="7694C434" w14:textId="48439CBB" w:rsidR="00F67E3B" w:rsidRPr="002E012F" w:rsidRDefault="00F67E3B">
            <w:pPr>
              <w:rPr>
                <w:sz w:val="22"/>
              </w:rPr>
            </w:pPr>
            <w:r w:rsidRPr="002E012F">
              <w:rPr>
                <w:b/>
              </w:rPr>
              <w:t>AREA OF CONSIDERATION:</w:t>
            </w:r>
            <w:r w:rsidRPr="002E012F">
              <w:rPr>
                <w:sz w:val="22"/>
              </w:rPr>
              <w:t xml:space="preserve">  </w:t>
            </w:r>
            <w:r w:rsidR="00432CE0" w:rsidRPr="00AE3EA8">
              <w:rPr>
                <w:b/>
                <w:bCs/>
                <w:sz w:val="22"/>
                <w:u w:val="single"/>
              </w:rPr>
              <w:t>NATIONWIDE</w:t>
            </w:r>
            <w:r w:rsidRPr="005D2995">
              <w:rPr>
                <w:sz w:val="22"/>
              </w:rPr>
              <w:t>:</w:t>
            </w:r>
            <w:r w:rsidRPr="002E012F">
              <w:rPr>
                <w:sz w:val="22"/>
              </w:rPr>
              <w:t xml:space="preserve"> </w:t>
            </w:r>
          </w:p>
          <w:p w14:paraId="368A5D42" w14:textId="77777777" w:rsidR="00F67E3B" w:rsidRDefault="00F67E3B">
            <w:r w:rsidRPr="00AD7353">
              <w:t xml:space="preserve">All Traditional Guardsman (includes technicians) who meet the basic qualifications for this position.   </w:t>
            </w:r>
          </w:p>
          <w:p w14:paraId="7694C435" w14:textId="4D52DDC7" w:rsidR="00432CE0" w:rsidRPr="00795B11" w:rsidRDefault="00795B11" w:rsidP="00347D71">
            <w:pPr>
              <w:pStyle w:val="TableParagrap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w:t>
            </w:r>
            <w:r w:rsidR="00347D71">
              <w:rPr>
                <w:rFonts w:ascii="Times New Roman" w:hAnsi="Times New Roman" w:cs="Times New Roman"/>
                <w:b/>
                <w:color w:val="0070C0"/>
                <w:sz w:val="24"/>
                <w:szCs w:val="24"/>
              </w:rPr>
              <w:t xml:space="preserve">New </w:t>
            </w:r>
            <w:r w:rsidR="00815900">
              <w:rPr>
                <w:rFonts w:ascii="Times New Roman" w:hAnsi="Times New Roman" w:cs="Times New Roman"/>
                <w:b/>
                <w:color w:val="0070C0"/>
                <w:sz w:val="24"/>
                <w:szCs w:val="24"/>
              </w:rPr>
              <w:t>Y</w:t>
            </w:r>
            <w:r w:rsidR="00347D71">
              <w:rPr>
                <w:rFonts w:ascii="Times New Roman" w:hAnsi="Times New Roman" w:cs="Times New Roman"/>
                <w:b/>
                <w:color w:val="0070C0"/>
                <w:sz w:val="24"/>
                <w:szCs w:val="24"/>
              </w:rPr>
              <w:t xml:space="preserve">ork </w:t>
            </w:r>
            <w:r>
              <w:rPr>
                <w:rFonts w:ascii="Times New Roman" w:hAnsi="Times New Roman" w:cs="Times New Roman"/>
                <w:b/>
                <w:color w:val="0070C0"/>
                <w:sz w:val="24"/>
                <w:szCs w:val="24"/>
              </w:rPr>
              <w:t>Air National Guard</w:t>
            </w:r>
          </w:p>
        </w:tc>
      </w:tr>
      <w:tr w:rsidR="00F67E3B" w:rsidRPr="00AD7353" w14:paraId="7694C43A" w14:textId="77777777" w:rsidTr="00061E0A">
        <w:trPr>
          <w:cantSplit/>
          <w:trHeight w:val="603"/>
        </w:trPr>
        <w:tc>
          <w:tcPr>
            <w:tcW w:w="5310" w:type="dxa"/>
            <w:tcBorders>
              <w:top w:val="single" w:sz="12" w:space="0" w:color="auto"/>
              <w:left w:val="single" w:sz="18" w:space="0" w:color="auto"/>
              <w:bottom w:val="single" w:sz="18" w:space="0" w:color="auto"/>
              <w:right w:val="single" w:sz="12" w:space="0" w:color="auto"/>
            </w:tcBorders>
            <w:vAlign w:val="center"/>
            <w:hideMark/>
          </w:tcPr>
          <w:p w14:paraId="7694C437" w14:textId="044641C1" w:rsidR="00F67E3B" w:rsidRPr="00AE3EA8" w:rsidRDefault="00F67E3B" w:rsidP="00203DDE">
            <w:pPr>
              <w:rPr>
                <w:szCs w:val="24"/>
              </w:rPr>
            </w:pPr>
            <w:r w:rsidRPr="002E012F">
              <w:rPr>
                <w:b/>
              </w:rPr>
              <w:t>POSITION TITLE:</w:t>
            </w:r>
            <w:r w:rsidRPr="002E012F">
              <w:rPr>
                <w:sz w:val="22"/>
              </w:rPr>
              <w:t xml:space="preserve"> </w:t>
            </w:r>
            <w:r w:rsidR="005D2995">
              <w:rPr>
                <w:sz w:val="22"/>
              </w:rPr>
              <w:t xml:space="preserve"> </w:t>
            </w:r>
            <w:r w:rsidR="00F74A02" w:rsidRPr="00F74A02">
              <w:rPr>
                <w:b/>
                <w:bCs/>
                <w:sz w:val="22"/>
              </w:rPr>
              <w:t>Aerospace</w:t>
            </w:r>
            <w:r w:rsidR="00F74A02">
              <w:rPr>
                <w:sz w:val="22"/>
              </w:rPr>
              <w:t xml:space="preserve"> </w:t>
            </w:r>
            <w:r w:rsidR="00AE3EA8" w:rsidRPr="00AE3EA8">
              <w:rPr>
                <w:b/>
                <w:szCs w:val="24"/>
              </w:rPr>
              <w:t>Propulsion</w:t>
            </w:r>
          </w:p>
          <w:p w14:paraId="7694C438" w14:textId="77777777" w:rsidR="00F67E3B" w:rsidRPr="000D7A02" w:rsidRDefault="00F67E3B">
            <w:pPr>
              <w:rPr>
                <w:sz w:val="20"/>
              </w:rPr>
            </w:pPr>
            <w:r w:rsidRPr="000D7A02">
              <w:t xml:space="preserve"> </w:t>
            </w:r>
          </w:p>
        </w:tc>
        <w:tc>
          <w:tcPr>
            <w:tcW w:w="6390" w:type="dxa"/>
            <w:gridSpan w:val="2"/>
            <w:vMerge/>
            <w:tcBorders>
              <w:top w:val="single" w:sz="6" w:space="0" w:color="auto"/>
              <w:left w:val="single" w:sz="12" w:space="0" w:color="auto"/>
              <w:bottom w:val="single" w:sz="18" w:space="0" w:color="auto"/>
              <w:right w:val="single" w:sz="12" w:space="0" w:color="auto"/>
            </w:tcBorders>
            <w:vAlign w:val="center"/>
            <w:hideMark/>
          </w:tcPr>
          <w:p w14:paraId="7694C439" w14:textId="77777777" w:rsidR="00F67E3B" w:rsidRPr="00AD7353" w:rsidRDefault="00F67E3B"/>
        </w:tc>
      </w:tr>
      <w:tr w:rsidR="00203DDE" w:rsidRPr="000D7A02" w14:paraId="517C2ECB" w14:textId="77777777" w:rsidTr="00AE3EA8">
        <w:trPr>
          <w:cantSplit/>
          <w:trHeight w:val="7470"/>
        </w:trPr>
        <w:tc>
          <w:tcPr>
            <w:tcW w:w="11700" w:type="dxa"/>
            <w:gridSpan w:val="3"/>
            <w:tcBorders>
              <w:top w:val="single" w:sz="18" w:space="0" w:color="auto"/>
              <w:left w:val="single" w:sz="18" w:space="0" w:color="auto"/>
              <w:bottom w:val="single" w:sz="18" w:space="0" w:color="auto"/>
              <w:right w:val="single" w:sz="18" w:space="0" w:color="auto"/>
            </w:tcBorders>
            <w:vAlign w:val="bottom"/>
          </w:tcPr>
          <w:p w14:paraId="26987AE4" w14:textId="27D0C830" w:rsidR="00203DDE" w:rsidRPr="00AD7353" w:rsidRDefault="00203DDE" w:rsidP="00203DDE">
            <w:pPr>
              <w:rPr>
                <w:snapToGrid w:val="0"/>
                <w:color w:val="000000"/>
                <w:sz w:val="20"/>
              </w:rPr>
            </w:pPr>
            <w:r w:rsidRPr="00D87D58">
              <w:rPr>
                <w:b/>
                <w:u w:val="single"/>
              </w:rPr>
              <w:t>SPECIALTY SUMMARY</w:t>
            </w:r>
            <w:r>
              <w:rPr>
                <w:b/>
                <w:u w:val="single"/>
              </w:rPr>
              <w:t xml:space="preserve"> </w:t>
            </w:r>
            <w:r w:rsidRPr="00B1599B">
              <w:rPr>
                <w:i/>
                <w:snapToGrid w:val="0"/>
                <w:color w:val="000000"/>
                <w:sz w:val="20"/>
              </w:rPr>
              <w:t>(As outlined in the current AFECD - 31OCT202</w:t>
            </w:r>
            <w:r w:rsidR="00F74A02">
              <w:rPr>
                <w:i/>
                <w:snapToGrid w:val="0"/>
                <w:color w:val="000000"/>
                <w:sz w:val="20"/>
              </w:rPr>
              <w:t>4</w:t>
            </w:r>
            <w:r w:rsidRPr="00B1599B">
              <w:rPr>
                <w:i/>
                <w:snapToGrid w:val="0"/>
                <w:color w:val="000000"/>
                <w:sz w:val="20"/>
              </w:rPr>
              <w:t>)</w:t>
            </w:r>
          </w:p>
          <w:p w14:paraId="1AD64A2E"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Inspects, maintains, modifies, tests, and repairs propellers, turboprop and turboshaft engines, jet engines, small gas turbine engines, and engine ground support equipment (SE). Manages aerospace propulsion functions and activities. Related DOD Occupational Subgroup: 160100. </w:t>
            </w:r>
          </w:p>
          <w:p w14:paraId="79566712" w14:textId="77777777" w:rsidR="00203DDE" w:rsidRPr="000D7A02" w:rsidRDefault="00203DDE" w:rsidP="00203DDE">
            <w:pPr>
              <w:rPr>
                <w:b/>
                <w:sz w:val="20"/>
              </w:rPr>
            </w:pPr>
          </w:p>
          <w:p w14:paraId="02BD1368" w14:textId="1A1C8953" w:rsidR="00203DDE" w:rsidRDefault="00203DDE" w:rsidP="00203DDE">
            <w:pPr>
              <w:pStyle w:val="Default"/>
              <w:rPr>
                <w:szCs w:val="20"/>
                <w:u w:val="single"/>
              </w:rPr>
            </w:pPr>
            <w:r>
              <w:rPr>
                <w:b/>
                <w:bCs/>
                <w:szCs w:val="20"/>
                <w:u w:val="single"/>
              </w:rPr>
              <w:t xml:space="preserve">DUTIES AND RESPOSIBILITIES </w:t>
            </w:r>
            <w:r w:rsidRPr="00B1599B">
              <w:rPr>
                <w:bCs/>
                <w:sz w:val="20"/>
                <w:szCs w:val="20"/>
              </w:rPr>
              <w:t>(</w:t>
            </w:r>
            <w:r w:rsidRPr="00B1599B">
              <w:rPr>
                <w:bCs/>
                <w:i/>
                <w:sz w:val="20"/>
                <w:szCs w:val="20"/>
              </w:rPr>
              <w:t>IAW the current AFECD – 31OCT202</w:t>
            </w:r>
            <w:r w:rsidR="00F74A02">
              <w:rPr>
                <w:bCs/>
                <w:i/>
                <w:sz w:val="20"/>
                <w:szCs w:val="20"/>
              </w:rPr>
              <w:t>4</w:t>
            </w:r>
            <w:r w:rsidRPr="00B1599B">
              <w:rPr>
                <w:bCs/>
                <w:i/>
                <w:szCs w:val="20"/>
              </w:rPr>
              <w:t>)</w:t>
            </w:r>
            <w:r w:rsidRPr="00B1599B">
              <w:rPr>
                <w:szCs w:val="20"/>
                <w:u w:val="single"/>
              </w:rPr>
              <w:t xml:space="preserve"> </w:t>
            </w:r>
          </w:p>
          <w:p w14:paraId="37D644B4"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2.1. Plans, organizes, and directs aerospace propulsion maintenance activities. Interprets and implements directives and publications pertaining to maintenance functions, including environmentally safe maintenance practices. Determines resource requirements, including facilities, equipment, and supplies. Inspects and evaluates maintenance activities. </w:t>
            </w:r>
          </w:p>
          <w:p w14:paraId="32167D31"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2.2. Advises, performs troubleshooting, performs engine health management, and determines repair procedures on aircraft engines. Diagnoses and repairs malfunctions using technical publications and Interactive Electronics Technical Manuals (IETMS). Solves maintenance problems by studying drawings, wiring and schematic diagrams, technical instructions, and analyzing operating characteristics of aircraft engines and propellers. Inspects, certifies, and approves completed maintenance actions. </w:t>
            </w:r>
          </w:p>
          <w:p w14:paraId="23CD8570"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2.3. Removes, installs, inspects, repairs, and modifies engines, engine modules and components, and propellers and propeller components. Disassembles and assembles engines and propellers adhering to prescribed procedures. Prepares engines and propellers for installation, storage, or transportation. Tests components using bench mockups and test equipment. Installs and removes engines on test stands, and operates, evaluates, and performs test stand functions on engines. Accomplishes operator maintenance on test stands. Inspects and maintains engine ground SE. Operates and performs operator inspections on related SE. Selects, uses, and cares for special tools, hand tools, and test equipment. Uses and disposes of hazardous waste and materials. </w:t>
            </w:r>
          </w:p>
          <w:p w14:paraId="1E84DBDA"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2.4. Analyzes, interprets, and recommends maintenance actions based on unscheduled engine removals and engine monitoring system data. Coordinates with the base engine manager to analyze scheduled engine removals; recommends forecast actions to the weekly or monthly maintenance schedules. </w:t>
            </w:r>
          </w:p>
          <w:p w14:paraId="69F2FC94" w14:textId="77777777" w:rsidR="00F74A02" w:rsidRPr="00F74A02" w:rsidRDefault="00F74A02" w:rsidP="00F74A02">
            <w:pPr>
              <w:autoSpaceDE w:val="0"/>
              <w:autoSpaceDN w:val="0"/>
              <w:adjustRightInd w:val="0"/>
              <w:rPr>
                <w:rFonts w:ascii="CIDFont+F1" w:hAnsi="CIDFont+F1" w:cs="CIDFont+F1"/>
                <w:sz w:val="20"/>
              </w:rPr>
            </w:pPr>
          </w:p>
          <w:p w14:paraId="2611A27D" w14:textId="3BE4BF3C" w:rsidR="0047689A" w:rsidRPr="002E012F" w:rsidRDefault="0047689A" w:rsidP="0047689A">
            <w:pPr>
              <w:rPr>
                <w:u w:val="single"/>
              </w:rPr>
            </w:pPr>
            <w:r w:rsidRPr="002E012F">
              <w:rPr>
                <w:b/>
                <w:u w:val="single"/>
              </w:rPr>
              <w:t>QUALIFICATIONS AND SELECTION FACTORS:</w:t>
            </w:r>
          </w:p>
          <w:p w14:paraId="3C26D453"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3.1. Knowledge. Knowledge is mandatory </w:t>
            </w:r>
            <w:proofErr w:type="gramStart"/>
            <w:r w:rsidRPr="00F74A02">
              <w:rPr>
                <w:rFonts w:ascii="CIDFont+F1" w:hAnsi="CIDFont+F1" w:cs="CIDFont+F1"/>
                <w:sz w:val="20"/>
              </w:rPr>
              <w:t>of:</w:t>
            </w:r>
            <w:proofErr w:type="gramEnd"/>
            <w:r w:rsidRPr="00F74A02">
              <w:rPr>
                <w:rFonts w:ascii="CIDFont+F1" w:hAnsi="CIDFont+F1" w:cs="CIDFont+F1"/>
                <w:sz w:val="20"/>
              </w:rPr>
              <w:t xml:space="preserve"> mechanical, hydro mechanical, electrical, and hydraulics principles applying to jet and turboprop engines, and propellers; oil analysis principles; wear metal criteria and guidelines; concepts and application of maintenance directives; using and interpreting diagrams and technical publications; and the proper handling, use, and disposal of hazardous waste and materials. </w:t>
            </w:r>
          </w:p>
          <w:p w14:paraId="38AC5243" w14:textId="77777777" w:rsidR="00F74A02"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3.2. Education. For entry into this specialty, completion of high school with courses in general science, mechanics, or mathematics is desirable. </w:t>
            </w:r>
          </w:p>
          <w:p w14:paraId="662FC3EC" w14:textId="03F916DC" w:rsidR="00203DDE" w:rsidRPr="00F74A02" w:rsidRDefault="00F74A02" w:rsidP="00F74A02">
            <w:pPr>
              <w:autoSpaceDE w:val="0"/>
              <w:autoSpaceDN w:val="0"/>
              <w:adjustRightInd w:val="0"/>
              <w:rPr>
                <w:rFonts w:ascii="CIDFont+F1" w:hAnsi="CIDFont+F1" w:cs="CIDFont+F1"/>
                <w:sz w:val="20"/>
              </w:rPr>
            </w:pPr>
            <w:r w:rsidRPr="00F74A02">
              <w:rPr>
                <w:rFonts w:ascii="CIDFont+F1" w:hAnsi="CIDFont+F1" w:cs="CIDFont+F1"/>
                <w:sz w:val="20"/>
              </w:rPr>
              <w:t xml:space="preserve">3.3. Training. For award of AFSC 2A631C/D/E or H, completion of a basic, suffix specific, aerospace propulsion maintenance course is mandatory. </w:t>
            </w:r>
          </w:p>
        </w:tc>
      </w:tr>
    </w:tbl>
    <w:p w14:paraId="7694C450" w14:textId="5410C856" w:rsidR="00F67E3B" w:rsidRPr="000D7A02" w:rsidRDefault="00F67E3B" w:rsidP="00F67E3B"/>
    <w:tbl>
      <w:tblPr>
        <w:tblW w:w="11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6"/>
      </w:tblGrid>
      <w:tr w:rsidR="00F67E3B" w:rsidRPr="000D7A02" w14:paraId="7694C486" w14:textId="77777777" w:rsidTr="00D141A5">
        <w:trPr>
          <w:trHeight w:val="1026"/>
        </w:trPr>
        <w:tc>
          <w:tcPr>
            <w:tcW w:w="11806" w:type="dxa"/>
            <w:tcBorders>
              <w:top w:val="single" w:sz="18" w:space="0" w:color="auto"/>
              <w:left w:val="single" w:sz="18" w:space="0" w:color="auto"/>
              <w:bottom w:val="single" w:sz="18" w:space="0" w:color="auto"/>
              <w:right w:val="single" w:sz="18" w:space="0" w:color="auto"/>
            </w:tcBorders>
          </w:tcPr>
          <w:p w14:paraId="70632A72" w14:textId="7263343A" w:rsidR="00360163" w:rsidRPr="00794DA7" w:rsidRDefault="00B25F6E" w:rsidP="002F0167">
            <w:pPr>
              <w:tabs>
                <w:tab w:val="left" w:pos="11430"/>
              </w:tabs>
              <w:jc w:val="center"/>
              <w:rPr>
                <w:b/>
                <w:u w:val="single"/>
              </w:rPr>
            </w:pPr>
            <w:r>
              <w:rPr>
                <w:b/>
                <w:u w:val="single"/>
              </w:rPr>
              <w:t xml:space="preserve">TO INQUIRY ABOUT </w:t>
            </w:r>
            <w:r w:rsidR="007901B9">
              <w:rPr>
                <w:b/>
                <w:u w:val="single"/>
              </w:rPr>
              <w:t xml:space="preserve">THIS or ANY </w:t>
            </w:r>
            <w:r>
              <w:rPr>
                <w:b/>
                <w:u w:val="single"/>
              </w:rPr>
              <w:t>109</w:t>
            </w:r>
            <w:r w:rsidRPr="00B25F6E">
              <w:rPr>
                <w:b/>
                <w:u w:val="single"/>
                <w:vertAlign w:val="superscript"/>
              </w:rPr>
              <w:t>TH</w:t>
            </w:r>
            <w:r>
              <w:rPr>
                <w:b/>
                <w:u w:val="single"/>
              </w:rPr>
              <w:t xml:space="preserve"> </w:t>
            </w:r>
            <w:r w:rsidR="003711F0">
              <w:rPr>
                <w:b/>
                <w:u w:val="single"/>
              </w:rPr>
              <w:t>AIRLIFT WING POSITIONS:</w:t>
            </w:r>
          </w:p>
          <w:p w14:paraId="53CDA915" w14:textId="77777777" w:rsidR="00252BA6" w:rsidRPr="00D141A5" w:rsidRDefault="00252BA6" w:rsidP="00D141A5">
            <w:pPr>
              <w:tabs>
                <w:tab w:val="left" w:pos="11430"/>
              </w:tabs>
              <w:rPr>
                <w:b/>
              </w:rPr>
            </w:pPr>
          </w:p>
          <w:p w14:paraId="7694C485" w14:textId="05EEAF52" w:rsidR="00F67E3B" w:rsidRPr="00F74A02" w:rsidRDefault="0066105A" w:rsidP="00F74A02">
            <w:pPr>
              <w:jc w:val="center"/>
              <w:rPr>
                <w:b/>
                <w:color w:val="0070C0"/>
                <w:sz w:val="36"/>
                <w:szCs w:val="36"/>
              </w:rPr>
            </w:pPr>
            <w:r>
              <w:rPr>
                <w:b/>
                <w:color w:val="0070C0"/>
                <w:sz w:val="36"/>
                <w:szCs w:val="36"/>
              </w:rPr>
              <w:t>Please Contact The 109</w:t>
            </w:r>
            <w:r>
              <w:rPr>
                <w:b/>
                <w:color w:val="0070C0"/>
                <w:sz w:val="36"/>
                <w:szCs w:val="36"/>
                <w:vertAlign w:val="superscript"/>
              </w:rPr>
              <w:t>th</w:t>
            </w:r>
            <w:r>
              <w:rPr>
                <w:b/>
                <w:color w:val="0070C0"/>
                <w:sz w:val="36"/>
                <w:szCs w:val="36"/>
              </w:rPr>
              <w:t xml:space="preserve"> Recruiting Office @ 518-344-2</w:t>
            </w:r>
            <w:r w:rsidR="00F74A02">
              <w:rPr>
                <w:b/>
                <w:color w:val="0070C0"/>
                <w:sz w:val="36"/>
                <w:szCs w:val="36"/>
              </w:rPr>
              <w:t>200</w:t>
            </w:r>
            <w:r>
              <w:rPr>
                <w:b/>
                <w:color w:val="0070C0"/>
                <w:sz w:val="36"/>
                <w:szCs w:val="36"/>
              </w:rPr>
              <w:t xml:space="preserve"> or 109</w:t>
            </w:r>
            <w:r w:rsidR="00F74A02">
              <w:rPr>
                <w:b/>
                <w:color w:val="0070C0"/>
                <w:sz w:val="36"/>
                <w:szCs w:val="36"/>
              </w:rPr>
              <w:t>aw.airwing.recruiting@us.af.mil</w:t>
            </w:r>
            <w:r>
              <w:rPr>
                <w:b/>
                <w:color w:val="0070C0"/>
                <w:sz w:val="36"/>
                <w:szCs w:val="36"/>
              </w:rPr>
              <w:t>, with any Qualification/Eligibility or Vacancy Questions.</w:t>
            </w:r>
          </w:p>
        </w:tc>
      </w:tr>
    </w:tbl>
    <w:p w14:paraId="7694C487" w14:textId="77777777" w:rsidR="00AD3574" w:rsidRPr="000D7A02" w:rsidRDefault="00AD3574" w:rsidP="000D7A02"/>
    <w:sectPr w:rsidR="00AD3574" w:rsidRPr="000D7A02"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7086" w14:textId="77777777" w:rsidR="00C912FE" w:rsidRDefault="00C912FE">
      <w:r>
        <w:separator/>
      </w:r>
    </w:p>
  </w:endnote>
  <w:endnote w:type="continuationSeparator" w:id="0">
    <w:p w14:paraId="757BB2DD" w14:textId="77777777" w:rsidR="00C912FE" w:rsidRDefault="00C9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B2FB2" w14:textId="77777777" w:rsidR="00C912FE" w:rsidRDefault="00C912FE">
      <w:r>
        <w:separator/>
      </w:r>
    </w:p>
  </w:footnote>
  <w:footnote w:type="continuationSeparator" w:id="0">
    <w:p w14:paraId="3A5B88C9" w14:textId="77777777" w:rsidR="00C912FE" w:rsidRDefault="00C9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85"/>
    <w:multiLevelType w:val="hybridMultilevel"/>
    <w:tmpl w:val="FD34553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5B8"/>
    <w:multiLevelType w:val="hybridMultilevel"/>
    <w:tmpl w:val="F3661D3C"/>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56A42"/>
    <w:multiLevelType w:val="hybridMultilevel"/>
    <w:tmpl w:val="452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F27"/>
    <w:multiLevelType w:val="hybridMultilevel"/>
    <w:tmpl w:val="39C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E62"/>
    <w:multiLevelType w:val="hybridMultilevel"/>
    <w:tmpl w:val="7BBE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3388C"/>
    <w:multiLevelType w:val="hybridMultilevel"/>
    <w:tmpl w:val="60C620B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6652F"/>
    <w:multiLevelType w:val="hybridMultilevel"/>
    <w:tmpl w:val="458C843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4AD"/>
    <w:multiLevelType w:val="hybridMultilevel"/>
    <w:tmpl w:val="CA9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69D2"/>
    <w:multiLevelType w:val="hybridMultilevel"/>
    <w:tmpl w:val="1572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6DE9"/>
    <w:multiLevelType w:val="hybridMultilevel"/>
    <w:tmpl w:val="ADB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501B4"/>
    <w:multiLevelType w:val="hybridMultilevel"/>
    <w:tmpl w:val="73B2F3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656BB"/>
    <w:multiLevelType w:val="hybridMultilevel"/>
    <w:tmpl w:val="34620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35E56"/>
    <w:multiLevelType w:val="hybridMultilevel"/>
    <w:tmpl w:val="AF24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816142"/>
    <w:multiLevelType w:val="hybridMultilevel"/>
    <w:tmpl w:val="F01C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845E1"/>
    <w:multiLevelType w:val="hybridMultilevel"/>
    <w:tmpl w:val="2D6605E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D2286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DA9076B"/>
    <w:multiLevelType w:val="hybridMultilevel"/>
    <w:tmpl w:val="9F3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D658B"/>
    <w:multiLevelType w:val="hybridMultilevel"/>
    <w:tmpl w:val="80BAD11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700322B"/>
    <w:multiLevelType w:val="hybridMultilevel"/>
    <w:tmpl w:val="983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693B17"/>
    <w:multiLevelType w:val="hybridMultilevel"/>
    <w:tmpl w:val="30E2BE0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9039754">
    <w:abstractNumId w:val="2"/>
  </w:num>
  <w:num w:numId="2" w16cid:durableId="2107650877">
    <w:abstractNumId w:val="17"/>
  </w:num>
  <w:num w:numId="3" w16cid:durableId="1857884449">
    <w:abstractNumId w:val="28"/>
  </w:num>
  <w:num w:numId="4" w16cid:durableId="1987078274">
    <w:abstractNumId w:val="24"/>
  </w:num>
  <w:num w:numId="5" w16cid:durableId="2124029249">
    <w:abstractNumId w:val="22"/>
  </w:num>
  <w:num w:numId="6" w16cid:durableId="563950352">
    <w:abstractNumId w:val="30"/>
  </w:num>
  <w:num w:numId="7" w16cid:durableId="1819491469">
    <w:abstractNumId w:val="34"/>
  </w:num>
  <w:num w:numId="8" w16cid:durableId="800075699">
    <w:abstractNumId w:val="6"/>
  </w:num>
  <w:num w:numId="9" w16cid:durableId="1764760813">
    <w:abstractNumId w:val="31"/>
  </w:num>
  <w:num w:numId="10" w16cid:durableId="1168906701">
    <w:abstractNumId w:val="23"/>
  </w:num>
  <w:num w:numId="11" w16cid:durableId="421800222">
    <w:abstractNumId w:val="36"/>
  </w:num>
  <w:num w:numId="12" w16cid:durableId="1181822187">
    <w:abstractNumId w:val="38"/>
  </w:num>
  <w:num w:numId="13" w16cid:durableId="1354649834">
    <w:abstractNumId w:val="32"/>
  </w:num>
  <w:num w:numId="14" w16cid:durableId="559899420">
    <w:abstractNumId w:val="16"/>
  </w:num>
  <w:num w:numId="15" w16cid:durableId="1436752903">
    <w:abstractNumId w:val="37"/>
  </w:num>
  <w:num w:numId="16" w16cid:durableId="1663584153">
    <w:abstractNumId w:val="15"/>
  </w:num>
  <w:num w:numId="17" w16cid:durableId="494611966">
    <w:abstractNumId w:val="19"/>
  </w:num>
  <w:num w:numId="18" w16cid:durableId="2130388391">
    <w:abstractNumId w:val="29"/>
  </w:num>
  <w:num w:numId="19" w16cid:durableId="174613868">
    <w:abstractNumId w:val="8"/>
  </w:num>
  <w:num w:numId="20" w16cid:durableId="1117915230">
    <w:abstractNumId w:val="39"/>
  </w:num>
  <w:num w:numId="21" w16cid:durableId="881328350">
    <w:abstractNumId w:val="14"/>
  </w:num>
  <w:num w:numId="22" w16cid:durableId="1188102678">
    <w:abstractNumId w:val="20"/>
  </w:num>
  <w:num w:numId="23" w16cid:durableId="203298415">
    <w:abstractNumId w:val="26"/>
  </w:num>
  <w:num w:numId="24" w16cid:durableId="1755473828">
    <w:abstractNumId w:val="39"/>
  </w:num>
  <w:num w:numId="25" w16cid:durableId="1096291018">
    <w:abstractNumId w:val="24"/>
  </w:num>
  <w:num w:numId="26" w16cid:durableId="972095898">
    <w:abstractNumId w:val="14"/>
  </w:num>
  <w:num w:numId="27" w16cid:durableId="1419332307">
    <w:abstractNumId w:val="20"/>
  </w:num>
  <w:num w:numId="28" w16cid:durableId="1220900587">
    <w:abstractNumId w:val="26"/>
  </w:num>
  <w:num w:numId="29" w16cid:durableId="799305151">
    <w:abstractNumId w:val="25"/>
  </w:num>
  <w:num w:numId="30" w16cid:durableId="658195990">
    <w:abstractNumId w:val="4"/>
  </w:num>
  <w:num w:numId="31" w16cid:durableId="1720713779">
    <w:abstractNumId w:val="11"/>
  </w:num>
  <w:num w:numId="32" w16cid:durableId="1179807450">
    <w:abstractNumId w:val="3"/>
  </w:num>
  <w:num w:numId="33" w16cid:durableId="1605504065">
    <w:abstractNumId w:val="7"/>
  </w:num>
  <w:num w:numId="34" w16cid:durableId="46074131">
    <w:abstractNumId w:val="35"/>
  </w:num>
  <w:num w:numId="35" w16cid:durableId="1061445331">
    <w:abstractNumId w:val="13"/>
  </w:num>
  <w:num w:numId="36" w16cid:durableId="346056380">
    <w:abstractNumId w:val="10"/>
  </w:num>
  <w:num w:numId="37" w16cid:durableId="590821972">
    <w:abstractNumId w:val="9"/>
  </w:num>
  <w:num w:numId="38" w16cid:durableId="189221272">
    <w:abstractNumId w:val="18"/>
  </w:num>
  <w:num w:numId="39" w16cid:durableId="1705792939">
    <w:abstractNumId w:val="27"/>
  </w:num>
  <w:num w:numId="40" w16cid:durableId="1289359556">
    <w:abstractNumId w:val="5"/>
  </w:num>
  <w:num w:numId="41" w16cid:durableId="921260289">
    <w:abstractNumId w:val="1"/>
  </w:num>
  <w:num w:numId="42" w16cid:durableId="300041729">
    <w:abstractNumId w:val="33"/>
  </w:num>
  <w:num w:numId="43" w16cid:durableId="1790314888">
    <w:abstractNumId w:val="0"/>
  </w:num>
  <w:num w:numId="44" w16cid:durableId="1708799223">
    <w:abstractNumId w:val="12"/>
  </w:num>
  <w:num w:numId="45" w16cid:durableId="5467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21587"/>
    <w:rsid w:val="000476E1"/>
    <w:rsid w:val="00061E0A"/>
    <w:rsid w:val="000838BE"/>
    <w:rsid w:val="00087BE9"/>
    <w:rsid w:val="000A04FE"/>
    <w:rsid w:val="000A4EF4"/>
    <w:rsid w:val="000B2504"/>
    <w:rsid w:val="000B3F4D"/>
    <w:rsid w:val="000B5A5C"/>
    <w:rsid w:val="000D7A02"/>
    <w:rsid w:val="000E4735"/>
    <w:rsid w:val="000F374E"/>
    <w:rsid w:val="00100DFF"/>
    <w:rsid w:val="001460BF"/>
    <w:rsid w:val="00152B60"/>
    <w:rsid w:val="00171DF6"/>
    <w:rsid w:val="00192FE9"/>
    <w:rsid w:val="001D0F88"/>
    <w:rsid w:val="001E3A90"/>
    <w:rsid w:val="00203DDE"/>
    <w:rsid w:val="00231F40"/>
    <w:rsid w:val="00247B2B"/>
    <w:rsid w:val="0025109B"/>
    <w:rsid w:val="00252BA6"/>
    <w:rsid w:val="00256B93"/>
    <w:rsid w:val="00272CF1"/>
    <w:rsid w:val="00297117"/>
    <w:rsid w:val="002C0C02"/>
    <w:rsid w:val="002D5CD7"/>
    <w:rsid w:val="002E012F"/>
    <w:rsid w:val="002F0167"/>
    <w:rsid w:val="002F2FD1"/>
    <w:rsid w:val="00315562"/>
    <w:rsid w:val="00343F3E"/>
    <w:rsid w:val="00344D18"/>
    <w:rsid w:val="00347D71"/>
    <w:rsid w:val="00354063"/>
    <w:rsid w:val="00360163"/>
    <w:rsid w:val="003711F0"/>
    <w:rsid w:val="003B3FA8"/>
    <w:rsid w:val="003D402D"/>
    <w:rsid w:val="004014D9"/>
    <w:rsid w:val="00416C42"/>
    <w:rsid w:val="00432CE0"/>
    <w:rsid w:val="0044517C"/>
    <w:rsid w:val="0045230A"/>
    <w:rsid w:val="00471B4C"/>
    <w:rsid w:val="0047689A"/>
    <w:rsid w:val="00494160"/>
    <w:rsid w:val="004C6B5F"/>
    <w:rsid w:val="004D5164"/>
    <w:rsid w:val="004E124B"/>
    <w:rsid w:val="004E6F1C"/>
    <w:rsid w:val="00515F7F"/>
    <w:rsid w:val="00545C45"/>
    <w:rsid w:val="00562F0B"/>
    <w:rsid w:val="00572E00"/>
    <w:rsid w:val="005749BC"/>
    <w:rsid w:val="005A01A0"/>
    <w:rsid w:val="005B6FB7"/>
    <w:rsid w:val="005C7C08"/>
    <w:rsid w:val="005D2995"/>
    <w:rsid w:val="005D4E6B"/>
    <w:rsid w:val="005E683E"/>
    <w:rsid w:val="00610309"/>
    <w:rsid w:val="006505DF"/>
    <w:rsid w:val="0066105A"/>
    <w:rsid w:val="00663ED6"/>
    <w:rsid w:val="00693059"/>
    <w:rsid w:val="006B4971"/>
    <w:rsid w:val="006D68A2"/>
    <w:rsid w:val="006E4289"/>
    <w:rsid w:val="006F04A9"/>
    <w:rsid w:val="0070287F"/>
    <w:rsid w:val="007423B0"/>
    <w:rsid w:val="007447CB"/>
    <w:rsid w:val="007901B9"/>
    <w:rsid w:val="00794DA7"/>
    <w:rsid w:val="00795B11"/>
    <w:rsid w:val="007B2C0A"/>
    <w:rsid w:val="007E012A"/>
    <w:rsid w:val="00803235"/>
    <w:rsid w:val="00815900"/>
    <w:rsid w:val="00830448"/>
    <w:rsid w:val="00835B2D"/>
    <w:rsid w:val="008370A5"/>
    <w:rsid w:val="00843688"/>
    <w:rsid w:val="0084502D"/>
    <w:rsid w:val="0086329C"/>
    <w:rsid w:val="008704A1"/>
    <w:rsid w:val="00882DCE"/>
    <w:rsid w:val="008A5C31"/>
    <w:rsid w:val="008B7083"/>
    <w:rsid w:val="008C2C69"/>
    <w:rsid w:val="008D4541"/>
    <w:rsid w:val="008F0DB2"/>
    <w:rsid w:val="0090178D"/>
    <w:rsid w:val="009100A2"/>
    <w:rsid w:val="009329E2"/>
    <w:rsid w:val="00942EBF"/>
    <w:rsid w:val="00956BC2"/>
    <w:rsid w:val="0097090D"/>
    <w:rsid w:val="009B3EE2"/>
    <w:rsid w:val="009C47CF"/>
    <w:rsid w:val="009E4B87"/>
    <w:rsid w:val="00A00EC2"/>
    <w:rsid w:val="00A07B0F"/>
    <w:rsid w:val="00A10B66"/>
    <w:rsid w:val="00A119E0"/>
    <w:rsid w:val="00A2052A"/>
    <w:rsid w:val="00A41C29"/>
    <w:rsid w:val="00A55DF0"/>
    <w:rsid w:val="00A729F6"/>
    <w:rsid w:val="00A7686A"/>
    <w:rsid w:val="00A9238E"/>
    <w:rsid w:val="00AB579F"/>
    <w:rsid w:val="00AD1270"/>
    <w:rsid w:val="00AD3574"/>
    <w:rsid w:val="00AD7353"/>
    <w:rsid w:val="00AE0ACD"/>
    <w:rsid w:val="00AE3EA8"/>
    <w:rsid w:val="00AE4596"/>
    <w:rsid w:val="00B1599B"/>
    <w:rsid w:val="00B25F6E"/>
    <w:rsid w:val="00B26CA5"/>
    <w:rsid w:val="00B5036E"/>
    <w:rsid w:val="00B80D2C"/>
    <w:rsid w:val="00BA346A"/>
    <w:rsid w:val="00BB6E0F"/>
    <w:rsid w:val="00BC17BF"/>
    <w:rsid w:val="00C03FD2"/>
    <w:rsid w:val="00C2667D"/>
    <w:rsid w:val="00C4044C"/>
    <w:rsid w:val="00C432B4"/>
    <w:rsid w:val="00C752F4"/>
    <w:rsid w:val="00C83A45"/>
    <w:rsid w:val="00C912FE"/>
    <w:rsid w:val="00CB0AF1"/>
    <w:rsid w:val="00CE794C"/>
    <w:rsid w:val="00CF5637"/>
    <w:rsid w:val="00D141A5"/>
    <w:rsid w:val="00D15760"/>
    <w:rsid w:val="00D36DE4"/>
    <w:rsid w:val="00D45D9E"/>
    <w:rsid w:val="00D551C0"/>
    <w:rsid w:val="00D7194B"/>
    <w:rsid w:val="00D87D58"/>
    <w:rsid w:val="00D97D60"/>
    <w:rsid w:val="00DD59F5"/>
    <w:rsid w:val="00E01D3E"/>
    <w:rsid w:val="00E04F41"/>
    <w:rsid w:val="00E35602"/>
    <w:rsid w:val="00E616B4"/>
    <w:rsid w:val="00E9469A"/>
    <w:rsid w:val="00EA7621"/>
    <w:rsid w:val="00EE5B24"/>
    <w:rsid w:val="00F02D07"/>
    <w:rsid w:val="00F13150"/>
    <w:rsid w:val="00F27A55"/>
    <w:rsid w:val="00F40594"/>
    <w:rsid w:val="00F47CF6"/>
    <w:rsid w:val="00F61A30"/>
    <w:rsid w:val="00F67E3B"/>
    <w:rsid w:val="00F74A02"/>
    <w:rsid w:val="00F85A57"/>
    <w:rsid w:val="00F91313"/>
    <w:rsid w:val="00FA456B"/>
    <w:rsid w:val="00FB52B3"/>
    <w:rsid w:val="00FC2A7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94C419"/>
  <w15:docId w15:val="{5D398000-6FAA-431E-97C1-BF2B3DD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character" w:styleId="Hyperlink">
    <w:name w:val="Hyperlink"/>
    <w:basedOn w:val="DefaultParagraphFont"/>
    <w:unhideWhenUsed/>
    <w:rsid w:val="00835B2D"/>
    <w:rPr>
      <w:color w:val="0000FF" w:themeColor="hyperlink"/>
      <w:u w:val="single"/>
    </w:rPr>
  </w:style>
  <w:style w:type="paragraph" w:customStyle="1" w:styleId="Default">
    <w:name w:val="Default"/>
    <w:rsid w:val="000D7A02"/>
    <w:pPr>
      <w:autoSpaceDE w:val="0"/>
      <w:autoSpaceDN w:val="0"/>
      <w:adjustRightInd w:val="0"/>
    </w:pPr>
    <w:rPr>
      <w:color w:val="000000"/>
      <w:sz w:val="24"/>
      <w:szCs w:val="24"/>
    </w:rPr>
  </w:style>
  <w:style w:type="paragraph" w:styleId="ListParagraph">
    <w:name w:val="List Paragraph"/>
    <w:basedOn w:val="Normal"/>
    <w:uiPriority w:val="34"/>
    <w:qFormat/>
    <w:rsid w:val="00D87D58"/>
    <w:pPr>
      <w:ind w:left="720"/>
      <w:contextualSpacing/>
    </w:pPr>
  </w:style>
  <w:style w:type="paragraph" w:customStyle="1" w:styleId="TableParagraph">
    <w:name w:val="Table Paragraph"/>
    <w:basedOn w:val="Normal"/>
    <w:uiPriority w:val="1"/>
    <w:qFormat/>
    <w:rsid w:val="00795B11"/>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936465">
      <w:bodyDiv w:val="1"/>
      <w:marLeft w:val="0"/>
      <w:marRight w:val="0"/>
      <w:marTop w:val="0"/>
      <w:marBottom w:val="0"/>
      <w:divBdr>
        <w:top w:val="none" w:sz="0" w:space="0" w:color="auto"/>
        <w:left w:val="none" w:sz="0" w:space="0" w:color="auto"/>
        <w:bottom w:val="none" w:sz="0" w:space="0" w:color="auto"/>
        <w:right w:val="none" w:sz="0" w:space="0" w:color="auto"/>
      </w:divBdr>
    </w:div>
    <w:div w:id="924537517">
      <w:bodyDiv w:val="1"/>
      <w:marLeft w:val="0"/>
      <w:marRight w:val="0"/>
      <w:marTop w:val="0"/>
      <w:marBottom w:val="0"/>
      <w:divBdr>
        <w:top w:val="none" w:sz="0" w:space="0" w:color="auto"/>
        <w:left w:val="none" w:sz="0" w:space="0" w:color="auto"/>
        <w:bottom w:val="none" w:sz="0" w:space="0" w:color="auto"/>
        <w:right w:val="none" w:sz="0" w:space="0" w:color="auto"/>
      </w:divBdr>
    </w:div>
    <w:div w:id="1339767043">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9AA8C-F164-4368-899F-842BBAA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6B3CC-7C8E-4664-9DEE-0C08D97DB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JACKSON, JOSETTE H TSgt USAF ANG 109 MDG/MDG</cp:lastModifiedBy>
  <cp:revision>2</cp:revision>
  <cp:lastPrinted>2010-09-20T16:07:00Z</cp:lastPrinted>
  <dcterms:created xsi:type="dcterms:W3CDTF">2025-02-28T17:34:00Z</dcterms:created>
  <dcterms:modified xsi:type="dcterms:W3CDTF">2025-02-28T17:34:00Z</dcterms:modified>
</cp:coreProperties>
</file>