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5101" w14:textId="77777777" w:rsidR="00CC7D9C" w:rsidRDefault="00CC7D9C">
      <w:pPr>
        <w:spacing w:before="2"/>
        <w:rPr>
          <w:rFonts w:ascii="Times New Roman" w:eastAsia="Times New Roman" w:hAnsi="Times New Roman" w:cs="Times New Roman"/>
          <w:sz w:val="5"/>
          <w:szCs w:val="5"/>
        </w:rPr>
      </w:pPr>
    </w:p>
    <w:tbl>
      <w:tblPr>
        <w:tblW w:w="0" w:type="auto"/>
        <w:tblInd w:w="-23" w:type="dxa"/>
        <w:tblLayout w:type="fixed"/>
        <w:tblCellMar>
          <w:left w:w="0" w:type="dxa"/>
          <w:right w:w="0" w:type="dxa"/>
        </w:tblCellMar>
        <w:tblLook w:val="01E0" w:firstRow="1" w:lastRow="1" w:firstColumn="1" w:lastColumn="1" w:noHBand="0" w:noVBand="0"/>
      </w:tblPr>
      <w:tblGrid>
        <w:gridCol w:w="6020"/>
        <w:gridCol w:w="5230"/>
      </w:tblGrid>
      <w:tr w:rsidR="00CC7D9C" w14:paraId="52A5F531" w14:textId="77777777" w:rsidTr="006A4FE4">
        <w:trPr>
          <w:trHeight w:hRule="exact" w:val="507"/>
        </w:trPr>
        <w:tc>
          <w:tcPr>
            <w:tcW w:w="11250" w:type="dxa"/>
            <w:gridSpan w:val="2"/>
            <w:tcBorders>
              <w:top w:val="single" w:sz="12" w:space="0" w:color="000000"/>
              <w:left w:val="single" w:sz="18" w:space="0" w:color="000000"/>
              <w:bottom w:val="single" w:sz="19" w:space="0" w:color="000000"/>
              <w:right w:val="single" w:sz="18" w:space="0" w:color="000000"/>
            </w:tcBorders>
          </w:tcPr>
          <w:p w14:paraId="4FAA4856" w14:textId="18776221" w:rsidR="00CC7D9C" w:rsidRPr="00F9350D" w:rsidRDefault="002E68AF" w:rsidP="00F9350D">
            <w:pPr>
              <w:pStyle w:val="BodyText"/>
              <w:jc w:val="center"/>
              <w:rPr>
                <w:rFonts w:cs="Arial"/>
                <w:b/>
                <w:bCs/>
                <w:sz w:val="32"/>
                <w:szCs w:val="32"/>
              </w:rPr>
            </w:pPr>
            <w:r w:rsidRPr="00F9350D">
              <w:rPr>
                <w:b/>
                <w:bCs/>
                <w:sz w:val="32"/>
                <w:szCs w:val="32"/>
              </w:rPr>
              <w:t>ENLISTED VACANCY ANNOUNCEMENT</w:t>
            </w:r>
          </w:p>
        </w:tc>
      </w:tr>
      <w:tr w:rsidR="00CC7D9C" w14:paraId="44E7AD99" w14:textId="77777777" w:rsidTr="006A4FE4">
        <w:trPr>
          <w:trHeight w:hRule="exact" w:val="470"/>
        </w:trPr>
        <w:tc>
          <w:tcPr>
            <w:tcW w:w="6020" w:type="dxa"/>
            <w:vMerge w:val="restart"/>
            <w:tcBorders>
              <w:top w:val="single" w:sz="19" w:space="0" w:color="000000"/>
              <w:left w:val="single" w:sz="18" w:space="0" w:color="000000"/>
              <w:right w:val="single" w:sz="7" w:space="0" w:color="000000"/>
            </w:tcBorders>
          </w:tcPr>
          <w:p w14:paraId="43BC2C7F" w14:textId="77777777" w:rsidR="009B15C3" w:rsidRPr="00EE5BBD" w:rsidRDefault="00576A9C" w:rsidP="00F9350D">
            <w:pPr>
              <w:pStyle w:val="TableParagraph"/>
              <w:ind w:left="86" w:right="1066"/>
              <w:contextualSpacing/>
              <w:rPr>
                <w:rFonts w:ascii="Arial"/>
                <w:b/>
                <w:spacing w:val="24"/>
                <w:sz w:val="24"/>
              </w:rPr>
            </w:pPr>
            <w:r w:rsidRPr="00EE5BBD">
              <w:rPr>
                <w:rFonts w:ascii="Arial"/>
                <w:b/>
                <w:spacing w:val="-1"/>
                <w:sz w:val="24"/>
              </w:rPr>
              <w:t>NEW</w:t>
            </w:r>
            <w:r w:rsidRPr="00EE5BBD">
              <w:rPr>
                <w:rFonts w:ascii="Arial"/>
                <w:b/>
                <w:sz w:val="24"/>
              </w:rPr>
              <w:t xml:space="preserve"> </w:t>
            </w:r>
            <w:r w:rsidRPr="00EE5BBD">
              <w:rPr>
                <w:rFonts w:ascii="Arial"/>
                <w:b/>
                <w:spacing w:val="-1"/>
                <w:sz w:val="24"/>
              </w:rPr>
              <w:t>YORK</w:t>
            </w:r>
            <w:r w:rsidRPr="00EE5BBD">
              <w:rPr>
                <w:rFonts w:ascii="Arial"/>
                <w:b/>
                <w:spacing w:val="2"/>
                <w:sz w:val="24"/>
              </w:rPr>
              <w:t xml:space="preserve"> </w:t>
            </w:r>
            <w:r w:rsidRPr="00EE5BBD">
              <w:rPr>
                <w:rFonts w:ascii="Arial"/>
                <w:b/>
                <w:spacing w:val="-3"/>
                <w:sz w:val="24"/>
              </w:rPr>
              <w:t>AIR</w:t>
            </w:r>
            <w:r w:rsidRPr="00EE5BBD">
              <w:rPr>
                <w:rFonts w:ascii="Arial"/>
                <w:b/>
                <w:sz w:val="24"/>
              </w:rPr>
              <w:t xml:space="preserve"> </w:t>
            </w:r>
            <w:r w:rsidRPr="00EE5BBD">
              <w:rPr>
                <w:rFonts w:ascii="Arial"/>
                <w:b/>
                <w:spacing w:val="-1"/>
                <w:sz w:val="24"/>
              </w:rPr>
              <w:t>NATIONAL</w:t>
            </w:r>
            <w:r w:rsidRPr="00EE5BBD">
              <w:rPr>
                <w:rFonts w:ascii="Arial"/>
                <w:b/>
                <w:sz w:val="24"/>
              </w:rPr>
              <w:t xml:space="preserve"> </w:t>
            </w:r>
            <w:r w:rsidRPr="00EE5BBD">
              <w:rPr>
                <w:rFonts w:ascii="Arial"/>
                <w:b/>
                <w:spacing w:val="-1"/>
                <w:sz w:val="24"/>
              </w:rPr>
              <w:t>GUARD</w:t>
            </w:r>
          </w:p>
          <w:p w14:paraId="2503D9DB" w14:textId="77777777" w:rsidR="009B15C3" w:rsidRDefault="009B15C3" w:rsidP="00F9350D">
            <w:pPr>
              <w:pStyle w:val="TableParagraph"/>
              <w:ind w:left="86" w:right="1066"/>
              <w:contextualSpacing/>
              <w:rPr>
                <w:rFonts w:ascii="Arial"/>
                <w:b/>
                <w:spacing w:val="24"/>
                <w:sz w:val="24"/>
              </w:rPr>
            </w:pPr>
            <w:r w:rsidRPr="00EE5BBD">
              <w:rPr>
                <w:rFonts w:ascii="Arial"/>
                <w:b/>
                <w:spacing w:val="24"/>
                <w:sz w:val="24"/>
              </w:rPr>
              <w:t>105 Airlift Wing</w:t>
            </w:r>
          </w:p>
          <w:p w14:paraId="1FC9789B" w14:textId="77777777" w:rsidR="00EE5BBD" w:rsidRPr="00EE5BBD" w:rsidRDefault="00EE5BBD" w:rsidP="00F9350D">
            <w:pPr>
              <w:pStyle w:val="TableParagraph"/>
              <w:ind w:left="86" w:right="1066"/>
              <w:contextualSpacing/>
              <w:rPr>
                <w:rFonts w:ascii="Arial"/>
                <w:b/>
                <w:spacing w:val="24"/>
                <w:sz w:val="24"/>
              </w:rPr>
            </w:pPr>
            <w:r>
              <w:rPr>
                <w:rFonts w:ascii="Arial"/>
                <w:b/>
                <w:spacing w:val="24"/>
                <w:sz w:val="24"/>
              </w:rPr>
              <w:t>Stewart ANGB</w:t>
            </w:r>
          </w:p>
          <w:p w14:paraId="0F24A82E" w14:textId="77777777" w:rsidR="00EE5BBD" w:rsidRDefault="00EE5BBD" w:rsidP="00F9350D">
            <w:pPr>
              <w:pStyle w:val="TableParagraph"/>
              <w:ind w:left="86" w:right="1066"/>
              <w:contextualSpacing/>
              <w:rPr>
                <w:rFonts w:ascii="Arial"/>
                <w:b/>
                <w:spacing w:val="-1"/>
                <w:sz w:val="24"/>
              </w:rPr>
            </w:pPr>
            <w:r w:rsidRPr="00EE5BBD">
              <w:rPr>
                <w:rFonts w:ascii="Arial"/>
                <w:b/>
                <w:spacing w:val="-1"/>
                <w:sz w:val="24"/>
              </w:rPr>
              <w:t>One Maguire Way</w:t>
            </w:r>
          </w:p>
          <w:p w14:paraId="0C54A656" w14:textId="77777777" w:rsidR="009B15C3" w:rsidRPr="00EE5BBD" w:rsidRDefault="009B15C3" w:rsidP="00F9350D">
            <w:pPr>
              <w:pStyle w:val="TableParagraph"/>
              <w:ind w:left="86" w:right="1066"/>
              <w:contextualSpacing/>
              <w:rPr>
                <w:rFonts w:ascii="Arial" w:eastAsia="Arial" w:hAnsi="Arial" w:cs="Arial"/>
                <w:sz w:val="24"/>
                <w:szCs w:val="28"/>
              </w:rPr>
            </w:pPr>
            <w:r w:rsidRPr="00EE5BBD">
              <w:rPr>
                <w:rFonts w:ascii="Arial"/>
                <w:b/>
                <w:spacing w:val="-1"/>
                <w:sz w:val="24"/>
              </w:rPr>
              <w:t>Newburgh, NY 12550</w:t>
            </w:r>
          </w:p>
        </w:tc>
        <w:tc>
          <w:tcPr>
            <w:tcW w:w="5230" w:type="dxa"/>
            <w:tcBorders>
              <w:top w:val="single" w:sz="19" w:space="0" w:color="000000"/>
              <w:left w:val="single" w:sz="7" w:space="0" w:color="000000"/>
              <w:bottom w:val="single" w:sz="7" w:space="0" w:color="000000"/>
              <w:right w:val="single" w:sz="18" w:space="0" w:color="000000"/>
            </w:tcBorders>
          </w:tcPr>
          <w:p w14:paraId="267DD882" w14:textId="5D76BA2E" w:rsidR="00CC7D9C" w:rsidRDefault="00576A9C" w:rsidP="00F9350D">
            <w:pPr>
              <w:pStyle w:val="BodyText"/>
              <w:rPr>
                <w:rFonts w:cs="Arial"/>
                <w:szCs w:val="28"/>
              </w:rPr>
            </w:pPr>
            <w:r>
              <w:t xml:space="preserve">ANNOUNCEMENT </w:t>
            </w:r>
            <w:r>
              <w:rPr>
                <w:spacing w:val="-1"/>
              </w:rPr>
              <w:t>#:</w:t>
            </w:r>
            <w:r>
              <w:rPr>
                <w:spacing w:val="-1"/>
              </w:rPr>
              <w:tab/>
            </w:r>
            <w:r w:rsidR="002E683E" w:rsidRPr="002E683E">
              <w:rPr>
                <w:spacing w:val="-1"/>
              </w:rPr>
              <w:t>FY25</w:t>
            </w:r>
            <w:r w:rsidR="00424EBE">
              <w:rPr>
                <w:spacing w:val="-1"/>
              </w:rPr>
              <w:t>-</w:t>
            </w:r>
            <w:r w:rsidR="00D77C80">
              <w:rPr>
                <w:spacing w:val="-1"/>
              </w:rPr>
              <w:t>1</w:t>
            </w:r>
            <w:r w:rsidR="00D75D6A">
              <w:rPr>
                <w:spacing w:val="-1"/>
              </w:rPr>
              <w:t>2</w:t>
            </w:r>
            <w:r w:rsidR="00BE4D02">
              <w:rPr>
                <w:spacing w:val="-1"/>
              </w:rPr>
              <w:t>2</w:t>
            </w:r>
          </w:p>
        </w:tc>
      </w:tr>
      <w:tr w:rsidR="00CC7D9C" w14:paraId="2EB8EFC6" w14:textId="77777777" w:rsidTr="006A4FE4">
        <w:trPr>
          <w:trHeight w:hRule="exact" w:val="350"/>
        </w:trPr>
        <w:tc>
          <w:tcPr>
            <w:tcW w:w="6020" w:type="dxa"/>
            <w:vMerge/>
            <w:tcBorders>
              <w:left w:val="single" w:sz="18" w:space="0" w:color="000000"/>
              <w:right w:val="single" w:sz="7" w:space="0" w:color="000000"/>
            </w:tcBorders>
          </w:tcPr>
          <w:p w14:paraId="06FB8D2B" w14:textId="77777777" w:rsidR="00CC7D9C" w:rsidRDefault="00CC7D9C"/>
        </w:tc>
        <w:tc>
          <w:tcPr>
            <w:tcW w:w="5230" w:type="dxa"/>
            <w:tcBorders>
              <w:top w:val="single" w:sz="7" w:space="0" w:color="000000"/>
              <w:left w:val="single" w:sz="7" w:space="0" w:color="000000"/>
              <w:bottom w:val="single" w:sz="7" w:space="0" w:color="000000"/>
              <w:right w:val="single" w:sz="18" w:space="0" w:color="000000"/>
            </w:tcBorders>
          </w:tcPr>
          <w:p w14:paraId="7B636224" w14:textId="5DAABF84" w:rsidR="00CC7D9C" w:rsidRDefault="00576A9C" w:rsidP="00F9350D">
            <w:pPr>
              <w:pStyle w:val="BodyText"/>
              <w:rPr>
                <w:rFonts w:cs="Arial"/>
                <w:szCs w:val="28"/>
              </w:rPr>
            </w:pPr>
            <w:r>
              <w:rPr>
                <w:b/>
                <w:spacing w:val="-2"/>
              </w:rPr>
              <w:t>DATE:</w:t>
            </w:r>
            <w:r>
              <w:rPr>
                <w:b/>
                <w:spacing w:val="-2"/>
              </w:rPr>
              <w:tab/>
            </w:r>
            <w:r w:rsidR="00BE4D02">
              <w:rPr>
                <w:b/>
                <w:spacing w:val="-2"/>
              </w:rPr>
              <w:t>1</w:t>
            </w:r>
            <w:r w:rsidR="00C26776">
              <w:rPr>
                <w:b/>
                <w:spacing w:val="-2"/>
              </w:rPr>
              <w:t>7</w:t>
            </w:r>
            <w:r w:rsidR="00D75D6A">
              <w:rPr>
                <w:b/>
                <w:spacing w:val="-2"/>
              </w:rPr>
              <w:t xml:space="preserve"> JUNE 2025</w:t>
            </w:r>
          </w:p>
        </w:tc>
      </w:tr>
      <w:tr w:rsidR="00CC7D9C" w14:paraId="64DD9E08" w14:textId="77777777" w:rsidTr="006A4FE4">
        <w:trPr>
          <w:trHeight w:hRule="exact" w:val="620"/>
        </w:trPr>
        <w:tc>
          <w:tcPr>
            <w:tcW w:w="6020" w:type="dxa"/>
            <w:vMerge/>
            <w:tcBorders>
              <w:left w:val="single" w:sz="18" w:space="0" w:color="000000"/>
              <w:bottom w:val="single" w:sz="5" w:space="0" w:color="000000"/>
              <w:right w:val="single" w:sz="7" w:space="0" w:color="000000"/>
            </w:tcBorders>
          </w:tcPr>
          <w:p w14:paraId="07D3399A" w14:textId="77777777" w:rsidR="00CC7D9C" w:rsidRDefault="00CC7D9C"/>
        </w:tc>
        <w:tc>
          <w:tcPr>
            <w:tcW w:w="5230" w:type="dxa"/>
            <w:tcBorders>
              <w:top w:val="single" w:sz="7" w:space="0" w:color="000000"/>
              <w:left w:val="single" w:sz="7" w:space="0" w:color="000000"/>
              <w:bottom w:val="single" w:sz="5" w:space="0" w:color="000000"/>
              <w:right w:val="single" w:sz="18" w:space="0" w:color="000000"/>
            </w:tcBorders>
          </w:tcPr>
          <w:p w14:paraId="4D55850A" w14:textId="3690053C" w:rsidR="00CC7D9C" w:rsidRDefault="00576A9C" w:rsidP="00F9350D">
            <w:pPr>
              <w:pStyle w:val="BodyText"/>
              <w:rPr>
                <w:rFonts w:cs="Arial"/>
                <w:szCs w:val="28"/>
              </w:rPr>
            </w:pPr>
            <w:r w:rsidRPr="00F9350D">
              <w:rPr>
                <w:b/>
                <w:bCs/>
                <w:spacing w:val="-1"/>
              </w:rPr>
              <w:t>CLOSING</w:t>
            </w:r>
            <w:r w:rsidRPr="00F9350D">
              <w:rPr>
                <w:b/>
                <w:bCs/>
                <w:spacing w:val="1"/>
              </w:rPr>
              <w:t xml:space="preserve"> </w:t>
            </w:r>
            <w:r w:rsidRPr="00F9350D">
              <w:rPr>
                <w:b/>
                <w:bCs/>
                <w:spacing w:val="-2"/>
              </w:rPr>
              <w:t>DATE:</w:t>
            </w:r>
            <w:r>
              <w:rPr>
                <w:spacing w:val="-2"/>
              </w:rPr>
              <w:tab/>
            </w:r>
            <w:r w:rsidR="00BE4D02">
              <w:rPr>
                <w:spacing w:val="-2"/>
              </w:rPr>
              <w:t>Until filled</w:t>
            </w:r>
          </w:p>
        </w:tc>
      </w:tr>
      <w:tr w:rsidR="00CC7D9C" w14:paraId="05EF164F" w14:textId="77777777" w:rsidTr="006A4FE4">
        <w:trPr>
          <w:trHeight w:hRule="exact" w:val="525"/>
        </w:trPr>
        <w:tc>
          <w:tcPr>
            <w:tcW w:w="6020" w:type="dxa"/>
            <w:tcBorders>
              <w:top w:val="single" w:sz="5" w:space="0" w:color="000000"/>
              <w:left w:val="single" w:sz="18" w:space="0" w:color="000000"/>
              <w:bottom w:val="single" w:sz="5" w:space="0" w:color="000000"/>
              <w:right w:val="single" w:sz="7" w:space="0" w:color="000000"/>
            </w:tcBorders>
          </w:tcPr>
          <w:p w14:paraId="25048B19" w14:textId="27636AA7" w:rsidR="00CC7D9C" w:rsidRDefault="00576A9C" w:rsidP="00F9350D">
            <w:pPr>
              <w:pStyle w:val="BodyText"/>
              <w:rPr>
                <w:rFonts w:cs="Arial"/>
                <w:szCs w:val="28"/>
              </w:rPr>
            </w:pPr>
            <w:r w:rsidRPr="00F9350D">
              <w:rPr>
                <w:b/>
                <w:bCs/>
                <w:spacing w:val="-1"/>
              </w:rPr>
              <w:t>UNIT:</w:t>
            </w:r>
            <w:r>
              <w:t xml:space="preserve">  </w:t>
            </w:r>
            <w:r w:rsidR="00D75D6A" w:rsidRPr="00D75D6A">
              <w:t>105 AW</w:t>
            </w:r>
          </w:p>
        </w:tc>
        <w:tc>
          <w:tcPr>
            <w:tcW w:w="5230" w:type="dxa"/>
            <w:tcBorders>
              <w:top w:val="single" w:sz="5" w:space="0" w:color="000000"/>
              <w:left w:val="single" w:sz="7" w:space="0" w:color="000000"/>
              <w:bottom w:val="single" w:sz="5" w:space="0" w:color="000000"/>
              <w:right w:val="single" w:sz="18" w:space="0" w:color="000000"/>
            </w:tcBorders>
          </w:tcPr>
          <w:p w14:paraId="3A591107" w14:textId="20908670" w:rsidR="00CC7D9C" w:rsidRDefault="00576A9C" w:rsidP="00F9350D">
            <w:pPr>
              <w:pStyle w:val="BodyText"/>
              <w:rPr>
                <w:rFonts w:cs="Arial"/>
                <w:sz w:val="28"/>
                <w:szCs w:val="28"/>
              </w:rPr>
            </w:pPr>
            <w:r w:rsidRPr="00F9350D">
              <w:rPr>
                <w:b/>
                <w:spacing w:val="-2"/>
                <w:szCs w:val="22"/>
              </w:rPr>
              <w:t>AFSC:</w:t>
            </w:r>
            <w:r>
              <w:rPr>
                <w:b/>
                <w:spacing w:val="-2"/>
                <w:sz w:val="28"/>
              </w:rPr>
              <w:tab/>
            </w:r>
            <w:r w:rsidR="00BE4D02">
              <w:rPr>
                <w:spacing w:val="-1"/>
                <w:sz w:val="28"/>
              </w:rPr>
              <w:t>5J0X1</w:t>
            </w:r>
          </w:p>
        </w:tc>
      </w:tr>
      <w:tr w:rsidR="00CC7D9C" w14:paraId="69FED2EA" w14:textId="77777777" w:rsidTr="006A4FE4">
        <w:trPr>
          <w:trHeight w:hRule="exact" w:val="462"/>
        </w:trPr>
        <w:tc>
          <w:tcPr>
            <w:tcW w:w="6020" w:type="dxa"/>
            <w:tcBorders>
              <w:top w:val="single" w:sz="5" w:space="0" w:color="000000"/>
              <w:left w:val="single" w:sz="18" w:space="0" w:color="000000"/>
              <w:bottom w:val="single" w:sz="7" w:space="0" w:color="000000"/>
              <w:right w:val="single" w:sz="7" w:space="0" w:color="000000"/>
            </w:tcBorders>
          </w:tcPr>
          <w:p w14:paraId="4037833B" w14:textId="6B7BAE86" w:rsidR="00CC7D9C" w:rsidRPr="00F9350D" w:rsidRDefault="00613D71" w:rsidP="00F9350D">
            <w:pPr>
              <w:pStyle w:val="BodyText"/>
              <w:rPr>
                <w:sz w:val="22"/>
                <w:szCs w:val="22"/>
              </w:rPr>
            </w:pPr>
            <w:r w:rsidRPr="00F9350D">
              <w:rPr>
                <w:b/>
                <w:bCs/>
                <w:sz w:val="22"/>
                <w:szCs w:val="22"/>
              </w:rPr>
              <w:t xml:space="preserve">MIN </w:t>
            </w:r>
            <w:r w:rsidR="00576A9C" w:rsidRPr="00F9350D">
              <w:rPr>
                <w:b/>
                <w:bCs/>
                <w:sz w:val="22"/>
                <w:szCs w:val="22"/>
              </w:rPr>
              <w:t>GRADE</w:t>
            </w:r>
            <w:r w:rsidR="00576A9C" w:rsidRPr="00F9350D">
              <w:rPr>
                <w:sz w:val="22"/>
                <w:szCs w:val="22"/>
              </w:rPr>
              <w:t>:</w:t>
            </w:r>
            <w:r w:rsidR="00F868B8" w:rsidRPr="00F9350D">
              <w:rPr>
                <w:sz w:val="22"/>
                <w:szCs w:val="22"/>
              </w:rPr>
              <w:t xml:space="preserve"> </w:t>
            </w:r>
            <w:r w:rsidR="00DD37F5">
              <w:rPr>
                <w:sz w:val="22"/>
                <w:szCs w:val="22"/>
              </w:rPr>
              <w:t>None</w:t>
            </w:r>
            <w:r w:rsidR="00F868B8" w:rsidRPr="00F9350D">
              <w:rPr>
                <w:sz w:val="22"/>
                <w:szCs w:val="22"/>
              </w:rPr>
              <w:t xml:space="preserve"> </w:t>
            </w:r>
            <w:r w:rsidR="002E68AF" w:rsidRPr="00F9350D">
              <w:rPr>
                <w:sz w:val="22"/>
                <w:szCs w:val="22"/>
              </w:rPr>
              <w:t xml:space="preserve">      </w:t>
            </w:r>
            <w:r w:rsidR="00F868B8" w:rsidRPr="00F9350D">
              <w:rPr>
                <w:b/>
                <w:bCs/>
                <w:sz w:val="22"/>
                <w:szCs w:val="22"/>
              </w:rPr>
              <w:t>MAX GRADE</w:t>
            </w:r>
            <w:r w:rsidR="00F868B8" w:rsidRPr="00F9350D">
              <w:rPr>
                <w:sz w:val="22"/>
                <w:szCs w:val="22"/>
              </w:rPr>
              <w:t xml:space="preserve">: </w:t>
            </w:r>
            <w:r w:rsidR="002E68AF" w:rsidRPr="00F9350D">
              <w:rPr>
                <w:sz w:val="22"/>
                <w:szCs w:val="22"/>
              </w:rPr>
              <w:t>E</w:t>
            </w:r>
            <w:r w:rsidR="00BE4D02">
              <w:rPr>
                <w:sz w:val="22"/>
                <w:szCs w:val="22"/>
              </w:rPr>
              <w:t>6</w:t>
            </w:r>
          </w:p>
          <w:p w14:paraId="2CB2408E" w14:textId="77777777" w:rsidR="00F868B8" w:rsidRDefault="00F868B8" w:rsidP="009E34A6">
            <w:pPr>
              <w:pStyle w:val="TableParagraph"/>
              <w:tabs>
                <w:tab w:val="left" w:pos="4196"/>
              </w:tabs>
              <w:spacing w:line="318" w:lineRule="exact"/>
              <w:ind w:left="85"/>
              <w:rPr>
                <w:rFonts w:ascii="Arial" w:eastAsia="Arial" w:hAnsi="Arial" w:cs="Arial"/>
                <w:sz w:val="28"/>
                <w:szCs w:val="28"/>
              </w:rPr>
            </w:pPr>
          </w:p>
        </w:tc>
        <w:tc>
          <w:tcPr>
            <w:tcW w:w="5230" w:type="dxa"/>
            <w:vMerge w:val="restart"/>
            <w:tcBorders>
              <w:top w:val="single" w:sz="5" w:space="0" w:color="000000"/>
              <w:left w:val="single" w:sz="7" w:space="0" w:color="000000"/>
              <w:right w:val="single" w:sz="18" w:space="0" w:color="000000"/>
            </w:tcBorders>
          </w:tcPr>
          <w:p w14:paraId="78D2FBBA" w14:textId="7D7D53D5" w:rsidR="00DE01CB" w:rsidRPr="00D75D6A" w:rsidRDefault="00576A9C" w:rsidP="00D75D6A">
            <w:pPr>
              <w:pStyle w:val="BodyText"/>
              <w:rPr>
                <w:b/>
                <w:bCs/>
                <w:spacing w:val="2"/>
              </w:rPr>
            </w:pPr>
            <w:r w:rsidRPr="00F9350D">
              <w:rPr>
                <w:b/>
                <w:bCs/>
              </w:rPr>
              <w:t>AREA</w:t>
            </w:r>
            <w:r w:rsidRPr="00F9350D">
              <w:rPr>
                <w:b/>
                <w:bCs/>
                <w:spacing w:val="-5"/>
              </w:rPr>
              <w:t xml:space="preserve"> </w:t>
            </w:r>
            <w:r w:rsidRPr="00F9350D">
              <w:rPr>
                <w:b/>
                <w:bCs/>
              </w:rPr>
              <w:t xml:space="preserve">OF CONSIDERATION: </w:t>
            </w:r>
            <w:r w:rsidRPr="00F9350D">
              <w:rPr>
                <w:b/>
                <w:bCs/>
                <w:spacing w:val="2"/>
              </w:rPr>
              <w:t xml:space="preserve"> </w:t>
            </w:r>
          </w:p>
          <w:p w14:paraId="041D1016" w14:textId="0B59247E" w:rsidR="00CC7D9C" w:rsidRPr="00BE4D02" w:rsidRDefault="00D75D6A" w:rsidP="00D75D6A">
            <w:pPr>
              <w:pStyle w:val="BodyText"/>
              <w:ind w:left="85" w:firstLine="0"/>
              <w:rPr>
                <w:rFonts w:cs="Arial"/>
                <w:bCs/>
                <w:sz w:val="20"/>
                <w:szCs w:val="20"/>
              </w:rPr>
            </w:pPr>
            <w:r w:rsidRPr="00BE4D02">
              <w:rPr>
                <w:bCs/>
                <w:sz w:val="20"/>
                <w:szCs w:val="20"/>
              </w:rPr>
              <w:t xml:space="preserve">Nationwide </w:t>
            </w:r>
          </w:p>
        </w:tc>
      </w:tr>
      <w:tr w:rsidR="00CC7D9C" w14:paraId="0AD496B0" w14:textId="77777777" w:rsidTr="006A4FE4">
        <w:trPr>
          <w:trHeight w:hRule="exact" w:val="710"/>
        </w:trPr>
        <w:tc>
          <w:tcPr>
            <w:tcW w:w="6020" w:type="dxa"/>
            <w:tcBorders>
              <w:top w:val="single" w:sz="7" w:space="0" w:color="000000"/>
              <w:left w:val="single" w:sz="18" w:space="0" w:color="000000"/>
              <w:bottom w:val="single" w:sz="19" w:space="0" w:color="000000"/>
              <w:right w:val="single" w:sz="7" w:space="0" w:color="000000"/>
            </w:tcBorders>
          </w:tcPr>
          <w:p w14:paraId="6FEE3A50" w14:textId="4D5E97FB" w:rsidR="0071398D" w:rsidRDefault="00576A9C" w:rsidP="00F9350D">
            <w:pPr>
              <w:pStyle w:val="BodyText"/>
              <w:rPr>
                <w:spacing w:val="-1"/>
              </w:rPr>
            </w:pPr>
            <w:r>
              <w:rPr>
                <w:b/>
                <w:spacing w:val="-1"/>
              </w:rPr>
              <w:t>POSITION</w:t>
            </w:r>
            <w:r>
              <w:rPr>
                <w:b/>
              </w:rPr>
              <w:t xml:space="preserve"> </w:t>
            </w:r>
            <w:r>
              <w:rPr>
                <w:b/>
                <w:spacing w:val="-1"/>
              </w:rPr>
              <w:t>TITLE:</w:t>
            </w:r>
            <w:r>
              <w:rPr>
                <w:b/>
              </w:rPr>
              <w:t xml:space="preserve"> </w:t>
            </w:r>
            <w:r w:rsidR="00BE4D02">
              <w:t>Paralegal</w:t>
            </w:r>
          </w:p>
          <w:p w14:paraId="21401111" w14:textId="77777777" w:rsidR="009E34A6" w:rsidRDefault="00655235" w:rsidP="00F9350D">
            <w:pPr>
              <w:pStyle w:val="BodyText"/>
              <w:rPr>
                <w:spacing w:val="-1"/>
              </w:rPr>
            </w:pPr>
            <w:r>
              <w:rPr>
                <w:spacing w:val="-1"/>
              </w:rPr>
              <w:t>(Trad</w:t>
            </w:r>
            <w:r w:rsidR="0071398D">
              <w:rPr>
                <w:spacing w:val="-1"/>
              </w:rPr>
              <w:t>itional</w:t>
            </w:r>
            <w:r>
              <w:rPr>
                <w:spacing w:val="-1"/>
              </w:rPr>
              <w:t xml:space="preserve"> /</w:t>
            </w:r>
            <w:r w:rsidR="0071398D">
              <w:rPr>
                <w:spacing w:val="-1"/>
              </w:rPr>
              <w:t xml:space="preserve"> </w:t>
            </w:r>
            <w:r>
              <w:rPr>
                <w:spacing w:val="-1"/>
              </w:rPr>
              <w:t>D</w:t>
            </w:r>
            <w:r w:rsidR="0071398D">
              <w:rPr>
                <w:spacing w:val="-1"/>
              </w:rPr>
              <w:t xml:space="preserve">rill </w:t>
            </w:r>
            <w:r>
              <w:rPr>
                <w:spacing w:val="-1"/>
              </w:rPr>
              <w:t>S</w:t>
            </w:r>
            <w:r w:rsidR="0071398D">
              <w:rPr>
                <w:spacing w:val="-1"/>
              </w:rPr>
              <w:t xml:space="preserve">tatus </w:t>
            </w:r>
            <w:r>
              <w:rPr>
                <w:spacing w:val="-1"/>
              </w:rPr>
              <w:t>G</w:t>
            </w:r>
            <w:r w:rsidR="0071398D">
              <w:rPr>
                <w:spacing w:val="-1"/>
              </w:rPr>
              <w:t>uardsman</w:t>
            </w:r>
            <w:r w:rsidR="006A387A">
              <w:rPr>
                <w:spacing w:val="-1"/>
              </w:rPr>
              <w:t xml:space="preserve"> (DSG)</w:t>
            </w:r>
            <w:r>
              <w:rPr>
                <w:spacing w:val="-1"/>
              </w:rPr>
              <w:t>)</w:t>
            </w:r>
          </w:p>
          <w:p w14:paraId="31DB7259" w14:textId="77777777" w:rsidR="00CC7D9C" w:rsidRPr="002238C1" w:rsidRDefault="00CC7D9C" w:rsidP="003751D4">
            <w:pPr>
              <w:pStyle w:val="TableParagraph"/>
              <w:spacing w:before="94"/>
              <w:ind w:left="85"/>
              <w:rPr>
                <w:rFonts w:ascii="Arial" w:eastAsia="Arial" w:hAnsi="Arial" w:cs="Arial"/>
                <w:sz w:val="18"/>
                <w:szCs w:val="18"/>
              </w:rPr>
            </w:pPr>
          </w:p>
        </w:tc>
        <w:tc>
          <w:tcPr>
            <w:tcW w:w="5230" w:type="dxa"/>
            <w:vMerge/>
            <w:tcBorders>
              <w:left w:val="single" w:sz="7" w:space="0" w:color="000000"/>
              <w:bottom w:val="single" w:sz="19" w:space="0" w:color="000000"/>
              <w:right w:val="single" w:sz="18" w:space="0" w:color="000000"/>
            </w:tcBorders>
          </w:tcPr>
          <w:p w14:paraId="4ABE8A83" w14:textId="77777777" w:rsidR="00CC7D9C" w:rsidRDefault="00CC7D9C"/>
        </w:tc>
      </w:tr>
      <w:tr w:rsidR="00CC7D9C" w14:paraId="6374604B" w14:textId="77777777" w:rsidTr="006A4FE4">
        <w:trPr>
          <w:trHeight w:hRule="exact" w:val="10780"/>
        </w:trPr>
        <w:tc>
          <w:tcPr>
            <w:tcW w:w="11250" w:type="dxa"/>
            <w:gridSpan w:val="2"/>
            <w:tcBorders>
              <w:top w:val="single" w:sz="19" w:space="0" w:color="000000"/>
              <w:left w:val="single" w:sz="18" w:space="0" w:color="000000"/>
              <w:bottom w:val="single" w:sz="19" w:space="0" w:color="000000"/>
              <w:right w:val="single" w:sz="18" w:space="0" w:color="000000"/>
            </w:tcBorders>
          </w:tcPr>
          <w:p w14:paraId="18A5A246" w14:textId="5603E31D" w:rsidR="00CC7D9C" w:rsidRPr="00FE19BE" w:rsidRDefault="00576A9C" w:rsidP="00237170">
            <w:pPr>
              <w:pStyle w:val="BodyText"/>
              <w:jc w:val="center"/>
              <w:rPr>
                <w:rFonts w:asciiTheme="minorHAnsi" w:hAnsiTheme="minorHAnsi" w:cstheme="minorHAnsi"/>
                <w:b/>
                <w:bCs/>
                <w:sz w:val="22"/>
                <w:szCs w:val="20"/>
                <w:u w:val="single"/>
              </w:rPr>
            </w:pPr>
            <w:bookmarkStart w:id="0" w:name="SPECIALTY_SUMMARY"/>
            <w:bookmarkEnd w:id="0"/>
            <w:r w:rsidRPr="00FE19BE">
              <w:rPr>
                <w:rFonts w:asciiTheme="minorHAnsi" w:hAnsiTheme="minorHAnsi" w:cstheme="minorHAnsi"/>
                <w:b/>
                <w:bCs/>
                <w:sz w:val="22"/>
                <w:szCs w:val="22"/>
                <w:u w:val="single"/>
              </w:rPr>
              <w:t>SPECIALTY</w:t>
            </w:r>
            <w:r w:rsidRPr="00FE19BE">
              <w:rPr>
                <w:rFonts w:asciiTheme="minorHAnsi" w:hAnsiTheme="minorHAnsi" w:cstheme="minorHAnsi"/>
                <w:b/>
                <w:bCs/>
                <w:spacing w:val="-2"/>
                <w:sz w:val="22"/>
                <w:szCs w:val="22"/>
                <w:u w:val="single"/>
              </w:rPr>
              <w:t xml:space="preserve"> </w:t>
            </w:r>
            <w:r w:rsidRPr="00FE19BE">
              <w:rPr>
                <w:rFonts w:asciiTheme="minorHAnsi" w:hAnsiTheme="minorHAnsi" w:cstheme="minorHAnsi"/>
                <w:b/>
                <w:bCs/>
                <w:sz w:val="22"/>
                <w:szCs w:val="22"/>
                <w:u w:val="single"/>
              </w:rPr>
              <w:t>SUMMARY</w:t>
            </w:r>
            <w:r w:rsidR="00C50437" w:rsidRPr="00FE19BE">
              <w:rPr>
                <w:rFonts w:asciiTheme="minorHAnsi" w:hAnsiTheme="minorHAnsi" w:cstheme="minorHAnsi"/>
                <w:b/>
                <w:bCs/>
                <w:sz w:val="22"/>
                <w:szCs w:val="22"/>
                <w:u w:val="single"/>
              </w:rPr>
              <w:t xml:space="preserve"> (DAFECD, </w:t>
            </w:r>
            <w:r w:rsidR="00FE19BE" w:rsidRPr="00FE19BE">
              <w:rPr>
                <w:rFonts w:asciiTheme="minorHAnsi" w:hAnsiTheme="minorHAnsi" w:cstheme="minorHAnsi"/>
                <w:b/>
                <w:bCs/>
                <w:sz w:val="22"/>
                <w:szCs w:val="22"/>
                <w:u w:val="single"/>
              </w:rPr>
              <w:t>30APR2025</w:t>
            </w:r>
            <w:r w:rsidR="00C50437" w:rsidRPr="00FE19BE">
              <w:rPr>
                <w:rFonts w:asciiTheme="minorHAnsi" w:hAnsiTheme="minorHAnsi" w:cstheme="minorHAnsi"/>
                <w:b/>
                <w:bCs/>
                <w:sz w:val="22"/>
                <w:szCs w:val="22"/>
                <w:u w:val="single"/>
              </w:rPr>
              <w:t>)</w:t>
            </w:r>
          </w:p>
          <w:p w14:paraId="6D8735D4" w14:textId="2DE296E6" w:rsidR="0070582E" w:rsidRPr="00634D9B" w:rsidRDefault="00EC7B36" w:rsidP="0070582E">
            <w:pPr>
              <w:rPr>
                <w:rFonts w:ascii="Times New Roman" w:hAnsi="Times New Roman" w:cs="Times New Roman"/>
                <w:sz w:val="20"/>
                <w:szCs w:val="20"/>
              </w:rPr>
            </w:pPr>
            <w:r w:rsidRPr="00FE19BE">
              <w:rPr>
                <w:rFonts w:cstheme="minorHAnsi"/>
                <w:szCs w:val="16"/>
              </w:rPr>
              <w:t xml:space="preserve">      </w:t>
            </w:r>
            <w:r w:rsidR="00B90618" w:rsidRPr="00634D9B">
              <w:rPr>
                <w:rFonts w:ascii="Times New Roman" w:eastAsia="Arial" w:hAnsi="Times New Roman" w:cs="Times New Roman"/>
                <w:sz w:val="20"/>
                <w:szCs w:val="20"/>
              </w:rPr>
              <w:t>Manage and perform substantive and procedural legal work as authorized by law, which work, in the absence of the paralegal, would be performed by an attorney, in compliance with American Bar Association (ABA) Model Rules of Professional Conduct, Air Force Instruction 51-110, Professional Responsibility Program and Department of the Air Force Instruction 51-101, The Air Force Judge Advocate General’s Corps (AFJAG) Operations, Accessions and Professional Development. Paralegals provide legal services for commanders, service members and other eligible beneficiaries as authorized by congress and policy; conduct legal research, analysis, and writing; perform leadership and technical functions in the military justice, civil law, operational and international law domains to include review of legal memoranda or other legal instruments; assist attorneys with trial, defense and/or victim advocacy as directed; prepare, review, execute, and maintain legal documents, including but not limited to powers of attorney, wills and notaries; communicate professionally with all personnel to include government agencies or officials and senior leaders.</w:t>
            </w:r>
          </w:p>
          <w:p w14:paraId="5EC1417F" w14:textId="4D46F207" w:rsidR="00B90618" w:rsidRPr="007F0D22" w:rsidRDefault="00FE19BE" w:rsidP="00B90618">
            <w:pPr>
              <w:jc w:val="center"/>
              <w:rPr>
                <w:rFonts w:cstheme="minorHAnsi"/>
                <w:b/>
                <w:bCs/>
                <w:u w:val="single"/>
              </w:rPr>
            </w:pPr>
            <w:r w:rsidRPr="007F0D22">
              <w:rPr>
                <w:rFonts w:cstheme="minorHAnsi"/>
                <w:b/>
                <w:bCs/>
                <w:u w:val="single"/>
              </w:rPr>
              <w:t>DUTIES AND RESPONSILBILITIES (DAFECD, 30APR2025)</w:t>
            </w:r>
          </w:p>
          <w:p w14:paraId="36FA9B60" w14:textId="77777777" w:rsidR="00B90618" w:rsidRDefault="00B90618" w:rsidP="00B90618">
            <w:pPr>
              <w:pStyle w:val="Default"/>
              <w:rPr>
                <w:sz w:val="20"/>
                <w:szCs w:val="20"/>
              </w:rPr>
            </w:pPr>
            <w:r>
              <w:rPr>
                <w:sz w:val="20"/>
                <w:szCs w:val="20"/>
              </w:rPr>
              <w:t xml:space="preserve">2.1. </w:t>
            </w:r>
            <w:r>
              <w:rPr>
                <w:rFonts w:ascii="Wingdings" w:hAnsi="Wingdings" w:cs="Wingdings"/>
                <w:color w:val="FF0000"/>
                <w:sz w:val="20"/>
                <w:szCs w:val="20"/>
              </w:rPr>
              <w:t></w:t>
            </w:r>
            <w:r>
              <w:rPr>
                <w:sz w:val="20"/>
                <w:szCs w:val="20"/>
              </w:rPr>
              <w:t xml:space="preserve">Perform, plan, and organize, legal services in the areas of military justice, civil law, operational and international law, and office, program and personnel management; establish standards and evaluate completed actions to determine accuracy, content, and compliance with governing directives, instructions, and statutes; prepare written communications, process correspondence and maintain suspense files; compile, input, update, retrieve, and interpret statistical data; prepare and present statistical reports on legal activities in various forums; create graphic presentations; conduct legal research by reviewing and analyzing available precedents; prepare legal reviews and memoranda and make final legal recommendations for the Staff Judge Advocate (SJA) or other senior attorney; maintain, stage, and dispose of official records; perform self-inspections and correct deficiencies; develop and maintain legal assistance materials and resources for clients; prepare for and participate in Inspector General and Article 6, UCMJ inspections; maintain confidentiality, protect personally identifiable and protect confidential unclassified information and classified material in accordance with applicable guidance; complete reporting requirements. </w:t>
            </w:r>
          </w:p>
          <w:p w14:paraId="50137C77" w14:textId="42C43353" w:rsidR="007F0D22" w:rsidRPr="007F0D22" w:rsidRDefault="00B90618" w:rsidP="007F0D22">
            <w:pPr>
              <w:pStyle w:val="Default"/>
              <w:rPr>
                <w:sz w:val="20"/>
                <w:szCs w:val="20"/>
              </w:rPr>
            </w:pPr>
            <w:r>
              <w:rPr>
                <w:sz w:val="20"/>
                <w:szCs w:val="20"/>
              </w:rPr>
              <w:t xml:space="preserve">2.2. </w:t>
            </w:r>
            <w:r>
              <w:rPr>
                <w:rFonts w:ascii="Wingdings" w:hAnsi="Wingdings" w:cs="Wingdings"/>
                <w:color w:val="FF0000"/>
                <w:sz w:val="20"/>
                <w:szCs w:val="20"/>
              </w:rPr>
              <w:t></w:t>
            </w:r>
            <w:r>
              <w:rPr>
                <w:sz w:val="20"/>
                <w:szCs w:val="20"/>
              </w:rPr>
              <w:t xml:space="preserve">Military Justice. Under the supervision of an attorney, provide administrative and litigation support in processing and execution of all judicial and nonjudicial (Article 15) matters, to include other administrative actions according to applicable laws and instructions, the </w:t>
            </w:r>
            <w:r>
              <w:rPr>
                <w:i/>
                <w:iCs/>
                <w:sz w:val="20"/>
                <w:szCs w:val="20"/>
              </w:rPr>
              <w:t>Manual for Courts-martial (MCM</w:t>
            </w:r>
            <w:r>
              <w:rPr>
                <w:sz w:val="20"/>
                <w:szCs w:val="20"/>
              </w:rPr>
              <w:t xml:space="preserve">) and other guidance whether part of the government, defense or victim teams; examine preliminary evidence for sufficiency of facts and jurisdiction over offense(s) and offender; assist commanders and first sergeants with determining appropriate forum for disciplinary actions; perform legal research and draft charges and specifications for courts-martial and Article 15 actions; prepare, process, and secure all documentation/evidence required for courts-martial and Article 15 actions from investigation through final action assist attorneys with investigating leads, conducting witness/victim interviews, to include witness/victim care and travel, reviewing case status, and developing case strategy; examine all actions and records of legal proceedings to ensure accuracy and completeness prior to review by commanders and final processing; review and assemble transcripts of legal proceedings; use the applicable case management systems and detailed checklists to accurately capture case details, monitor case progress, analyze military justice programs and prepare status of discipline presentations for commanders; process administrative separation actions in accordance with applicable laws, instructions and other guidance; perform legal research and prepare legal reviews for decision making authorities; to track and provide reports on the administrative separations of Department of Air Force members. </w:t>
            </w:r>
          </w:p>
          <w:p w14:paraId="169AC02B" w14:textId="77777777" w:rsidR="007F0D22" w:rsidRDefault="007F0D22" w:rsidP="007F0D22">
            <w:pPr>
              <w:pStyle w:val="Default"/>
              <w:rPr>
                <w:sz w:val="20"/>
                <w:szCs w:val="20"/>
              </w:rPr>
            </w:pPr>
            <w:r>
              <w:rPr>
                <w:sz w:val="20"/>
                <w:szCs w:val="20"/>
              </w:rPr>
              <w:t xml:space="preserve">2.3. </w:t>
            </w:r>
            <w:r>
              <w:rPr>
                <w:rFonts w:ascii="Wingdings" w:hAnsi="Wingdings" w:cs="Wingdings"/>
                <w:color w:val="FF0000"/>
                <w:sz w:val="20"/>
                <w:szCs w:val="20"/>
              </w:rPr>
              <w:t></w:t>
            </w:r>
            <w:r>
              <w:rPr>
                <w:sz w:val="20"/>
                <w:szCs w:val="20"/>
              </w:rPr>
              <w:t xml:space="preserve">Civil Law. Under the supervision of an attorney, provide legal support in ethics, standards of conduct, environmental, labor and employment, claims, contract law and other areas under the civil law domain; perform research and draft legal reviews and briefs as needed; process line of duty determinations, report of survey investigations and off-duty employment requests; interview clients and determine eligibility for legal assistance; consult clients to obtain facts, background information, and data to determine conflict and/or appropriate assistance or referral to other agencies; prepare documents such as powers of attorney, wills, promissory notes, deeds and bills of sale; function as notary public under federal law (Title 10 USC); use the applicable case management systems for claims adjudication and program management and Legal Assistance Website to manage legal assistance appointments, prepare documents and generate reports; receive, examine, adjudicate, process, and settle claims filed for and against the United States Government pursuant to Air Force </w:t>
            </w:r>
          </w:p>
          <w:p w14:paraId="49CAEA6B" w14:textId="77777777" w:rsidR="007F0D22" w:rsidRDefault="007F0D22" w:rsidP="007F0D22">
            <w:pPr>
              <w:pStyle w:val="Default"/>
              <w:rPr>
                <w:sz w:val="20"/>
                <w:szCs w:val="20"/>
              </w:rPr>
            </w:pPr>
          </w:p>
          <w:p w14:paraId="3849C41D" w14:textId="77777777" w:rsidR="0070582E" w:rsidRPr="0070582E" w:rsidRDefault="0070582E" w:rsidP="0070582E"/>
          <w:p w14:paraId="5E6B84D1" w14:textId="77777777" w:rsidR="0070582E" w:rsidRPr="0070582E" w:rsidRDefault="0070582E" w:rsidP="0070582E"/>
          <w:p w14:paraId="0A144136" w14:textId="77777777" w:rsidR="0070582E" w:rsidRPr="0070582E" w:rsidRDefault="0070582E" w:rsidP="0070582E"/>
          <w:p w14:paraId="633442F1" w14:textId="77777777" w:rsidR="0070582E" w:rsidRPr="0070582E" w:rsidRDefault="0070582E" w:rsidP="0070582E"/>
          <w:p w14:paraId="7B8FEA1D" w14:textId="77777777" w:rsidR="0070582E" w:rsidRPr="0070582E" w:rsidRDefault="0070582E" w:rsidP="0070582E"/>
          <w:p w14:paraId="59BA7F46" w14:textId="77777777" w:rsidR="0070582E" w:rsidRPr="0070582E" w:rsidRDefault="0070582E" w:rsidP="0070582E"/>
          <w:p w14:paraId="4E56131C" w14:textId="77777777" w:rsidR="0070582E" w:rsidRPr="0070582E" w:rsidRDefault="0070582E" w:rsidP="0070582E"/>
          <w:p w14:paraId="30A002EA" w14:textId="77777777" w:rsidR="0070582E" w:rsidRPr="0070582E" w:rsidRDefault="0070582E" w:rsidP="0070582E"/>
          <w:p w14:paraId="60EC3E5D" w14:textId="77777777" w:rsidR="0070582E" w:rsidRPr="0070582E" w:rsidRDefault="0070582E" w:rsidP="0070582E"/>
          <w:p w14:paraId="33575A88" w14:textId="77777777" w:rsidR="0070582E" w:rsidRPr="0070582E" w:rsidRDefault="0070582E" w:rsidP="0070582E"/>
          <w:p w14:paraId="54BF206A" w14:textId="77777777" w:rsidR="0070582E" w:rsidRPr="0070582E" w:rsidRDefault="0070582E" w:rsidP="0070582E"/>
          <w:p w14:paraId="409ACC0B" w14:textId="77777777" w:rsidR="0070582E" w:rsidRPr="0070582E" w:rsidRDefault="0070582E" w:rsidP="0070582E"/>
          <w:p w14:paraId="4B435FFE" w14:textId="77777777" w:rsidR="0070582E" w:rsidRPr="0070582E" w:rsidRDefault="0070582E" w:rsidP="0070582E"/>
          <w:p w14:paraId="42DE917D" w14:textId="77777777" w:rsidR="0070582E" w:rsidRPr="0070582E" w:rsidRDefault="0070582E" w:rsidP="0070582E"/>
          <w:p w14:paraId="280CD0D1" w14:textId="77777777" w:rsidR="0070582E" w:rsidRPr="0070582E" w:rsidRDefault="0070582E" w:rsidP="0070582E"/>
          <w:p w14:paraId="1FF222FB" w14:textId="77777777" w:rsidR="0070582E" w:rsidRPr="0070582E" w:rsidRDefault="0070582E" w:rsidP="0070582E"/>
          <w:p w14:paraId="2DC58190" w14:textId="77777777" w:rsidR="0070582E" w:rsidRPr="0070582E" w:rsidRDefault="0070582E" w:rsidP="0070582E"/>
          <w:p w14:paraId="68280C7F" w14:textId="52543B01" w:rsidR="0070582E" w:rsidRPr="0070582E" w:rsidRDefault="0070582E" w:rsidP="0070582E">
            <w:pPr>
              <w:jc w:val="center"/>
            </w:pPr>
          </w:p>
        </w:tc>
      </w:tr>
      <w:tr w:rsidR="002E68AF" w14:paraId="3F416F68" w14:textId="77777777" w:rsidTr="006A4FE4">
        <w:trPr>
          <w:trHeight w:hRule="exact" w:val="14713"/>
        </w:trPr>
        <w:tc>
          <w:tcPr>
            <w:tcW w:w="11250" w:type="dxa"/>
            <w:gridSpan w:val="2"/>
            <w:tcBorders>
              <w:top w:val="single" w:sz="19" w:space="0" w:color="000000"/>
              <w:left w:val="single" w:sz="18" w:space="0" w:color="000000"/>
              <w:bottom w:val="single" w:sz="19" w:space="0" w:color="000000"/>
              <w:right w:val="single" w:sz="18" w:space="0" w:color="000000"/>
            </w:tcBorders>
          </w:tcPr>
          <w:p w14:paraId="7D47D725" w14:textId="77777777" w:rsidR="007F0D22" w:rsidRDefault="007F0D22" w:rsidP="007F0D22">
            <w:pPr>
              <w:pStyle w:val="Default"/>
            </w:pPr>
          </w:p>
          <w:p w14:paraId="4815A538" w14:textId="77777777" w:rsidR="007F0D22" w:rsidRDefault="007F0D22" w:rsidP="007F0D22">
            <w:pPr>
              <w:pStyle w:val="Default"/>
              <w:rPr>
                <w:sz w:val="20"/>
                <w:szCs w:val="20"/>
              </w:rPr>
            </w:pPr>
            <w:r>
              <w:rPr>
                <w:sz w:val="20"/>
                <w:szCs w:val="20"/>
              </w:rPr>
              <w:t xml:space="preserve">publications, applicable laws, and international agreements with foreign governments; evaluate basic claims and related documents to ensure compliance with time limits, jurisdiction and liability; consult with claimants on sufficiency and legality of claims covering matters such as death, personal injury, and property loss or damage; conduct claims investigations and interview witnesses to make preliminary determination of liability and extent of damages; settle claims within settlement authority or make recommendations on settlement; prepare claims to forward to appropriate activity or echelon; applicable for claims adjudication and program management. </w:t>
            </w:r>
          </w:p>
          <w:p w14:paraId="01703C13" w14:textId="77777777" w:rsidR="007F0D22" w:rsidRDefault="007F0D22" w:rsidP="007F0D22">
            <w:pPr>
              <w:pStyle w:val="Default"/>
              <w:rPr>
                <w:sz w:val="20"/>
                <w:szCs w:val="20"/>
              </w:rPr>
            </w:pPr>
            <w:r>
              <w:rPr>
                <w:sz w:val="20"/>
                <w:szCs w:val="20"/>
              </w:rPr>
              <w:t xml:space="preserve">2.4. </w:t>
            </w:r>
            <w:r>
              <w:rPr>
                <w:rFonts w:ascii="Wingdings" w:hAnsi="Wingdings" w:cs="Wingdings"/>
                <w:color w:val="FF0000"/>
                <w:sz w:val="20"/>
                <w:szCs w:val="20"/>
              </w:rPr>
              <w:t></w:t>
            </w:r>
            <w:r>
              <w:rPr>
                <w:sz w:val="20"/>
                <w:szCs w:val="20"/>
              </w:rPr>
              <w:t xml:space="preserve">Operations and International Law. Under the supervision of an attorney, assist commanders to ensure Department of the Air Force personnel are familiar with their Law of War obligations and are able to fulfill current training requirements with the DoD Law of War Program in accordance with governing directives and statutes; monitor the reporting, investigation, and processing of any record of </w:t>
            </w:r>
          </w:p>
          <w:p w14:paraId="7737D023" w14:textId="77777777" w:rsidR="007F0D22" w:rsidRDefault="007F0D22" w:rsidP="007F0D22">
            <w:pPr>
              <w:pStyle w:val="Default"/>
              <w:rPr>
                <w:sz w:val="20"/>
                <w:szCs w:val="20"/>
              </w:rPr>
            </w:pPr>
            <w:r>
              <w:rPr>
                <w:sz w:val="20"/>
                <w:szCs w:val="20"/>
              </w:rPr>
              <w:t xml:space="preserve">alleged law of war violation involving Department of Air Force personnel; ensure the timely review, processing, and filing of legal reviews involving weapons and weapons systems; coordinating Status of Forces Agreement requirements with the Operations and International Law Directorate, Civil Law &amp; Litigation Directorate, Department of State and other Federal agencies for foreign claims processing or investigation personnel involved with an aircraft or ground safety investigation outside the United States; track criminal incidents occurring outside the United States involving US personnel (including service members, dependents, US civilians, and contractors) arrested, tried or imprisoned by another nation's criminal system; track criminal actions within the United States in State or Federal courts, involving foreign military members stationed within the United States; assist in the production of evidence or witnesses before the court and ensure pertinent information involving the alleged criminal charges is updated in the Foreign Criminal Jurisdiction database for higher headquarters visibility; track requests to negotiate, conclude and process all international agreements that fall under their organization; ensure all proposed international agreements are properly coordinated with appropriate agencies and reported in a timely manner as required by Federal law; serve as emergency preparedness coordinator for legal personnel participating in the AF Crisis Action Team, Operations Centers and Continuity of Government programs; review NATO and other Allied publications, Air Force and Joint Doctrine documents for legal sufficiency; assemble, coordinate, and provide information at the appropriate level to assist the Judge Advocate General's Article, UCMJ inspection program. </w:t>
            </w:r>
          </w:p>
          <w:p w14:paraId="55843804" w14:textId="77777777" w:rsidR="00361525" w:rsidRDefault="007F0D22" w:rsidP="007F0D22">
            <w:pPr>
              <w:pStyle w:val="Default"/>
              <w:rPr>
                <w:sz w:val="20"/>
                <w:szCs w:val="20"/>
              </w:rPr>
            </w:pPr>
            <w:r>
              <w:rPr>
                <w:sz w:val="20"/>
                <w:szCs w:val="20"/>
              </w:rPr>
              <w:t>2.5. Manage resources.</w:t>
            </w:r>
          </w:p>
          <w:p w14:paraId="3338BA2A" w14:textId="1380F6AE" w:rsidR="007F0D22" w:rsidRDefault="007F0D22" w:rsidP="007F0D22">
            <w:pPr>
              <w:pStyle w:val="Default"/>
              <w:rPr>
                <w:sz w:val="20"/>
                <w:szCs w:val="20"/>
              </w:rPr>
            </w:pPr>
            <w:r>
              <w:rPr>
                <w:sz w:val="20"/>
                <w:szCs w:val="20"/>
              </w:rPr>
              <w:t xml:space="preserve"> 2.5.1. </w:t>
            </w:r>
            <w:r>
              <w:rPr>
                <w:rFonts w:ascii="Wingdings" w:hAnsi="Wingdings" w:cs="Wingdings"/>
                <w:color w:val="FF0000"/>
                <w:sz w:val="20"/>
                <w:szCs w:val="20"/>
              </w:rPr>
              <w:t></w:t>
            </w:r>
            <w:r>
              <w:rPr>
                <w:sz w:val="20"/>
                <w:szCs w:val="20"/>
              </w:rPr>
              <w:t xml:space="preserve">Personnel. Identify requirements, develop position descriptions, hiring actions and assign workload; professionally develop, train and mentor total force, junior officers, enlisted and civilian personnel; monitor performance feedback and reporting; manage attached reserve component requirements and training; manage quarterly, annual, functional, and other award and recognition programs. </w:t>
            </w:r>
          </w:p>
          <w:p w14:paraId="224AA305" w14:textId="77777777" w:rsidR="007F0D22" w:rsidRDefault="007F0D22" w:rsidP="007F0D22">
            <w:pPr>
              <w:pStyle w:val="Default"/>
              <w:rPr>
                <w:sz w:val="20"/>
                <w:szCs w:val="20"/>
              </w:rPr>
            </w:pPr>
            <w:r>
              <w:rPr>
                <w:sz w:val="20"/>
                <w:szCs w:val="20"/>
              </w:rPr>
              <w:t xml:space="preserve">2.5.2. Fiscal. Assess program priorities and fiscal support capabilities; identify resource requirements, ascertain appropriate funding sources, submit, review and coordinate budget execution, implement adjustments and conduct follow-up; allocate resources and administer fiscal internal controls. </w:t>
            </w:r>
          </w:p>
          <w:p w14:paraId="245CAE6A" w14:textId="77777777" w:rsidR="007F0D22" w:rsidRDefault="007F0D22" w:rsidP="007F0D22">
            <w:pPr>
              <w:pStyle w:val="Default"/>
              <w:rPr>
                <w:sz w:val="20"/>
                <w:szCs w:val="20"/>
              </w:rPr>
            </w:pPr>
            <w:r>
              <w:rPr>
                <w:sz w:val="20"/>
                <w:szCs w:val="20"/>
              </w:rPr>
              <w:t xml:space="preserve">2.5.3. Facilities. Assess and process requests for facility maintenance, modification, and new construction to meet requirements; develop and coordinate self-help projects; schedule and evaluate facility usage and maintenance. </w:t>
            </w:r>
          </w:p>
          <w:p w14:paraId="129BE9CF" w14:textId="2CB15E96" w:rsidR="007F0D22" w:rsidRPr="007F0D22" w:rsidRDefault="007F0D22" w:rsidP="007F0D22">
            <w:pPr>
              <w:pStyle w:val="Default"/>
              <w:jc w:val="center"/>
              <w:rPr>
                <w:rFonts w:asciiTheme="minorHAnsi" w:hAnsiTheme="minorHAnsi" w:cstheme="minorHAnsi"/>
                <w:sz w:val="22"/>
                <w:szCs w:val="22"/>
                <w:u w:val="single"/>
              </w:rPr>
            </w:pPr>
            <w:r w:rsidRPr="007F0D22">
              <w:rPr>
                <w:rFonts w:asciiTheme="minorHAnsi" w:hAnsiTheme="minorHAnsi" w:cstheme="minorHAnsi"/>
                <w:b/>
                <w:bCs/>
                <w:sz w:val="22"/>
                <w:szCs w:val="22"/>
                <w:u w:val="single"/>
              </w:rPr>
              <w:t>Specialty Qualifications</w:t>
            </w:r>
          </w:p>
          <w:p w14:paraId="1EADC639" w14:textId="5176D648" w:rsidR="007F0D22" w:rsidRDefault="007F0D22" w:rsidP="007F0D22">
            <w:pPr>
              <w:pStyle w:val="Default"/>
              <w:rPr>
                <w:sz w:val="20"/>
                <w:szCs w:val="20"/>
              </w:rPr>
            </w:pPr>
            <w:r>
              <w:rPr>
                <w:sz w:val="20"/>
                <w:szCs w:val="20"/>
              </w:rPr>
              <w:t xml:space="preserve">3.1. </w:t>
            </w:r>
            <w:r>
              <w:rPr>
                <w:rFonts w:ascii="Wingdings" w:hAnsi="Wingdings" w:cs="Wingdings"/>
                <w:color w:val="FF0000"/>
                <w:sz w:val="20"/>
                <w:szCs w:val="20"/>
              </w:rPr>
              <w:t></w:t>
            </w:r>
            <w:r>
              <w:rPr>
                <w:sz w:val="20"/>
                <w:szCs w:val="20"/>
              </w:rPr>
              <w:t xml:space="preserve">Knowledge. Keyboard and computer operations; UCMJ, MCM, and applicable Department of Air Force Instructions and other governing directives. English grammar and composition; math; functional organization of a military legal office; interview techniques and knowledge of legal procedures concerning military courts and boards; legal terminology and interpretations; research, writing, and utilization of legal publications and reference files; civil law matters to include claims processing; Air Force organization and administration; and office management. </w:t>
            </w:r>
          </w:p>
          <w:p w14:paraId="0B9A491C" w14:textId="77777777" w:rsidR="007F0D22" w:rsidRDefault="007F0D22" w:rsidP="007F0D22">
            <w:pPr>
              <w:pStyle w:val="Default"/>
              <w:rPr>
                <w:sz w:val="20"/>
                <w:szCs w:val="20"/>
              </w:rPr>
            </w:pPr>
            <w:r>
              <w:rPr>
                <w:sz w:val="20"/>
                <w:szCs w:val="20"/>
              </w:rPr>
              <w:t xml:space="preserve">3.2. Education. For entry into this specialty, completion of high school is required. Confirmed graduation from an Associate or higher program as documented in the Military Personnel Data System will suffice in lieu of high school diploma or GED. Completion of college level courses in English comprehension, math, and human resources is desirable. Familiarization with computer programs such as Microsoft Word, Excel, PowerPoint, and vital platforms is recommended. </w:t>
            </w:r>
          </w:p>
          <w:p w14:paraId="0AA20503" w14:textId="77777777" w:rsidR="00361525" w:rsidRDefault="007F0D22" w:rsidP="007F0D22">
            <w:pPr>
              <w:pStyle w:val="Default"/>
              <w:rPr>
                <w:sz w:val="20"/>
                <w:szCs w:val="20"/>
              </w:rPr>
            </w:pPr>
            <w:r>
              <w:rPr>
                <w:sz w:val="20"/>
                <w:szCs w:val="20"/>
              </w:rPr>
              <w:t>3.3. Training. The following formal training is mandatory for award of the AFSC indicated:</w:t>
            </w:r>
          </w:p>
          <w:p w14:paraId="38F366D4" w14:textId="04A6FA91" w:rsidR="007F0D22" w:rsidRDefault="007F0D22" w:rsidP="007F0D22">
            <w:pPr>
              <w:pStyle w:val="Default"/>
              <w:rPr>
                <w:sz w:val="20"/>
                <w:szCs w:val="20"/>
              </w:rPr>
            </w:pPr>
            <w:r>
              <w:rPr>
                <w:sz w:val="20"/>
                <w:szCs w:val="20"/>
              </w:rPr>
              <w:t xml:space="preserve"> 3.3.1. </w:t>
            </w:r>
            <w:r>
              <w:rPr>
                <w:rFonts w:ascii="Wingdings" w:hAnsi="Wingdings" w:cs="Wingdings"/>
                <w:color w:val="FF0000"/>
                <w:sz w:val="20"/>
                <w:szCs w:val="20"/>
              </w:rPr>
              <w:t></w:t>
            </w:r>
            <w:r>
              <w:rPr>
                <w:sz w:val="20"/>
                <w:szCs w:val="20"/>
              </w:rPr>
              <w:t xml:space="preserve">5J031. Completion of the Paralegal Apprentice Course. </w:t>
            </w:r>
          </w:p>
          <w:p w14:paraId="6CBC9A92" w14:textId="77777777" w:rsidR="007F0D22" w:rsidRDefault="007F0D22" w:rsidP="007F0D22">
            <w:pPr>
              <w:pStyle w:val="Default"/>
              <w:rPr>
                <w:sz w:val="20"/>
                <w:szCs w:val="20"/>
              </w:rPr>
            </w:pPr>
            <w:r>
              <w:rPr>
                <w:sz w:val="20"/>
                <w:szCs w:val="20"/>
              </w:rPr>
              <w:t xml:space="preserve">3.3.2. </w:t>
            </w:r>
            <w:r>
              <w:rPr>
                <w:rFonts w:ascii="Wingdings" w:hAnsi="Wingdings" w:cs="Wingdings"/>
                <w:color w:val="FF0000"/>
                <w:sz w:val="20"/>
                <w:szCs w:val="20"/>
              </w:rPr>
              <w:t></w:t>
            </w:r>
            <w:r>
              <w:rPr>
                <w:sz w:val="20"/>
                <w:szCs w:val="20"/>
              </w:rPr>
              <w:t xml:space="preserve">5J051. Completion of the Paralegal Journeyman Course (CDCs). </w:t>
            </w:r>
          </w:p>
          <w:p w14:paraId="1A82BECA" w14:textId="77777777" w:rsidR="007F0D22" w:rsidRDefault="007F0D22" w:rsidP="007F0D22">
            <w:pPr>
              <w:pStyle w:val="Default"/>
              <w:rPr>
                <w:sz w:val="20"/>
                <w:szCs w:val="20"/>
              </w:rPr>
            </w:pPr>
            <w:r>
              <w:rPr>
                <w:sz w:val="20"/>
                <w:szCs w:val="20"/>
              </w:rPr>
              <w:t xml:space="preserve">3.3.3. </w:t>
            </w:r>
            <w:r>
              <w:rPr>
                <w:rFonts w:ascii="Wingdings" w:hAnsi="Wingdings" w:cs="Wingdings"/>
                <w:color w:val="FF0000"/>
                <w:sz w:val="20"/>
                <w:szCs w:val="20"/>
              </w:rPr>
              <w:t></w:t>
            </w:r>
            <w:r>
              <w:rPr>
                <w:sz w:val="20"/>
                <w:szCs w:val="20"/>
              </w:rPr>
              <w:t xml:space="preserve">5J071. Completion of the Paralegal Craftsman Course. </w:t>
            </w:r>
          </w:p>
          <w:p w14:paraId="74B20224" w14:textId="4C65E43E" w:rsidR="007F0D22" w:rsidRDefault="007F0D22" w:rsidP="007F0D22">
            <w:pPr>
              <w:pStyle w:val="Default"/>
              <w:rPr>
                <w:sz w:val="20"/>
                <w:szCs w:val="20"/>
              </w:rPr>
            </w:pPr>
            <w:r>
              <w:rPr>
                <w:sz w:val="20"/>
                <w:szCs w:val="20"/>
              </w:rPr>
              <w:t xml:space="preserve">3.3.4. </w:t>
            </w:r>
            <w:r>
              <w:rPr>
                <w:rFonts w:ascii="Wingdings" w:hAnsi="Wingdings" w:cs="Wingdings"/>
                <w:color w:val="FF0000"/>
                <w:sz w:val="20"/>
                <w:szCs w:val="20"/>
              </w:rPr>
              <w:t></w:t>
            </w:r>
            <w:r>
              <w:rPr>
                <w:sz w:val="20"/>
                <w:szCs w:val="20"/>
              </w:rPr>
              <w:t xml:space="preserve">5J091. Completion of the Paralegal Superintendent Course. </w:t>
            </w:r>
          </w:p>
          <w:p w14:paraId="3B48E18B" w14:textId="77777777" w:rsidR="00361525" w:rsidRDefault="007F0D22" w:rsidP="007F0D22">
            <w:pPr>
              <w:pStyle w:val="Default"/>
              <w:rPr>
                <w:sz w:val="20"/>
                <w:szCs w:val="20"/>
              </w:rPr>
            </w:pPr>
            <w:r>
              <w:rPr>
                <w:sz w:val="20"/>
                <w:szCs w:val="20"/>
              </w:rPr>
              <w:t xml:space="preserve">3.4. Experience. The following experience is mandatory for award of the AFSC indicated: </w:t>
            </w:r>
          </w:p>
          <w:p w14:paraId="6C09183C" w14:textId="06E2865A" w:rsidR="007F0D22" w:rsidRDefault="007F0D22" w:rsidP="007F0D22">
            <w:pPr>
              <w:pStyle w:val="Default"/>
              <w:rPr>
                <w:sz w:val="20"/>
                <w:szCs w:val="20"/>
              </w:rPr>
            </w:pPr>
            <w:r>
              <w:rPr>
                <w:sz w:val="20"/>
                <w:szCs w:val="20"/>
              </w:rPr>
              <w:t xml:space="preserve">3.4.1. </w:t>
            </w:r>
            <w:r>
              <w:rPr>
                <w:rFonts w:ascii="Wingdings" w:hAnsi="Wingdings" w:cs="Wingdings"/>
                <w:color w:val="FF0000"/>
                <w:sz w:val="20"/>
                <w:szCs w:val="20"/>
              </w:rPr>
              <w:t></w:t>
            </w:r>
            <w:r>
              <w:rPr>
                <w:sz w:val="20"/>
                <w:szCs w:val="20"/>
              </w:rPr>
              <w:t xml:space="preserve">5J051. Qualification in and possession of AFSC 5J031. Basic to intermediate level competency in organizational management (training, leadership, personnel and office management), compliance (records, and case management), legal tenants (communication, legal research and analysis, legal writing, interview protocol), and areas of practice (civil law and litigation, military justice and discipline, operations and international law). </w:t>
            </w:r>
          </w:p>
          <w:p w14:paraId="33F3AB10" w14:textId="77777777" w:rsidR="007F0D22" w:rsidRDefault="007F0D22" w:rsidP="007F0D22">
            <w:pPr>
              <w:pStyle w:val="Default"/>
              <w:rPr>
                <w:sz w:val="20"/>
                <w:szCs w:val="20"/>
              </w:rPr>
            </w:pPr>
            <w:r>
              <w:rPr>
                <w:sz w:val="20"/>
                <w:szCs w:val="20"/>
              </w:rPr>
              <w:t xml:space="preserve">3.4.2. </w:t>
            </w:r>
            <w:r>
              <w:rPr>
                <w:rFonts w:ascii="Wingdings" w:hAnsi="Wingdings" w:cs="Wingdings"/>
                <w:color w:val="FF0000"/>
                <w:sz w:val="20"/>
                <w:szCs w:val="20"/>
              </w:rPr>
              <w:t></w:t>
            </w:r>
            <w:r>
              <w:rPr>
                <w:sz w:val="20"/>
                <w:szCs w:val="20"/>
              </w:rPr>
              <w:t xml:space="preserve">5J071. Qualification in and possession of AFSC 5J051. Intermediate to advanced level competence in organizational management (training, leadership, personnel and office management), compliance (records and case management), legal tenants (communication, legal research and analysis, legal writing, interview protocol), and areas of practice (civil law and litigation, military justice and discipline, operations and international law). </w:t>
            </w:r>
          </w:p>
          <w:p w14:paraId="25F642A1" w14:textId="77777777" w:rsidR="007F0D22" w:rsidRDefault="007F0D22" w:rsidP="007F0D22">
            <w:pPr>
              <w:pStyle w:val="Default"/>
              <w:rPr>
                <w:sz w:val="20"/>
                <w:szCs w:val="20"/>
              </w:rPr>
            </w:pPr>
            <w:r>
              <w:rPr>
                <w:sz w:val="20"/>
                <w:szCs w:val="20"/>
              </w:rPr>
              <w:t xml:space="preserve">3.4.3. </w:t>
            </w:r>
            <w:r>
              <w:rPr>
                <w:rFonts w:ascii="Wingdings" w:hAnsi="Wingdings" w:cs="Wingdings"/>
                <w:color w:val="FF0000"/>
                <w:sz w:val="20"/>
                <w:szCs w:val="20"/>
              </w:rPr>
              <w:t></w:t>
            </w:r>
            <w:r>
              <w:rPr>
                <w:sz w:val="20"/>
                <w:szCs w:val="20"/>
              </w:rPr>
              <w:t xml:space="preserve">5J091. Qualification in and possession of AFSC 5J071. Advanced to expert level competency in organizational management (training, leadership, personnel and office management), compliance (records and case management), legal tenants (communication, legal research and analysis, legal writing, interview protocol), and areas of civil law and litigation, military justice and discipline, operations and international law). </w:t>
            </w:r>
          </w:p>
          <w:p w14:paraId="7366EEB4" w14:textId="77777777" w:rsidR="007F0D22" w:rsidRDefault="007F0D22" w:rsidP="007F0D22">
            <w:pPr>
              <w:pStyle w:val="Default"/>
              <w:rPr>
                <w:sz w:val="20"/>
                <w:szCs w:val="20"/>
              </w:rPr>
            </w:pPr>
          </w:p>
          <w:p w14:paraId="4EE075E3" w14:textId="77777777" w:rsidR="007F0D22" w:rsidRDefault="007F0D22" w:rsidP="007F0D22">
            <w:pPr>
              <w:pStyle w:val="Default"/>
              <w:rPr>
                <w:sz w:val="20"/>
                <w:szCs w:val="20"/>
              </w:rPr>
            </w:pPr>
          </w:p>
          <w:p w14:paraId="733E7CAA" w14:textId="2CC9AED9" w:rsidR="00C50437" w:rsidRPr="00F83915" w:rsidRDefault="00C50437" w:rsidP="00B90618">
            <w:pPr>
              <w:pStyle w:val="TableParagraph"/>
              <w:rPr>
                <w:rFonts w:ascii="Arial"/>
                <w:bCs/>
                <w:spacing w:val="-1"/>
                <w:sz w:val="20"/>
                <w:szCs w:val="20"/>
              </w:rPr>
            </w:pPr>
          </w:p>
        </w:tc>
      </w:tr>
      <w:tr w:rsidR="00F9350D" w14:paraId="3E325467" w14:textId="77777777" w:rsidTr="006A4FE4">
        <w:trPr>
          <w:trHeight w:hRule="exact" w:val="14173"/>
        </w:trPr>
        <w:tc>
          <w:tcPr>
            <w:tcW w:w="11250" w:type="dxa"/>
            <w:gridSpan w:val="2"/>
            <w:tcBorders>
              <w:top w:val="single" w:sz="19" w:space="0" w:color="000000"/>
              <w:left w:val="single" w:sz="18" w:space="0" w:color="000000"/>
              <w:bottom w:val="single" w:sz="19" w:space="0" w:color="000000"/>
              <w:right w:val="single" w:sz="18" w:space="0" w:color="000000"/>
            </w:tcBorders>
          </w:tcPr>
          <w:p w14:paraId="7E00FFF6" w14:textId="77777777" w:rsidR="00361525" w:rsidRDefault="007F0D22" w:rsidP="007F0D22">
            <w:pPr>
              <w:pStyle w:val="Default"/>
              <w:rPr>
                <w:sz w:val="20"/>
                <w:szCs w:val="20"/>
              </w:rPr>
            </w:pPr>
            <w:r>
              <w:rPr>
                <w:sz w:val="20"/>
                <w:szCs w:val="20"/>
              </w:rPr>
              <w:lastRenderedPageBreak/>
              <w:t>3.5. Other. The following are mandatory as indicated:</w:t>
            </w:r>
          </w:p>
          <w:p w14:paraId="2F461680" w14:textId="2EDA0BBC" w:rsidR="00361525" w:rsidRDefault="007F0D22" w:rsidP="007F0D22">
            <w:pPr>
              <w:pStyle w:val="Default"/>
              <w:rPr>
                <w:sz w:val="20"/>
                <w:szCs w:val="20"/>
              </w:rPr>
            </w:pPr>
            <w:r>
              <w:rPr>
                <w:sz w:val="20"/>
                <w:szCs w:val="20"/>
              </w:rPr>
              <w:t xml:space="preserve"> 3.5.1. For entry into this AFSC: </w:t>
            </w:r>
          </w:p>
          <w:p w14:paraId="575E4C61" w14:textId="760169D5" w:rsidR="007F0D22" w:rsidRDefault="007F0D22" w:rsidP="007F0D22">
            <w:pPr>
              <w:pStyle w:val="Default"/>
              <w:rPr>
                <w:sz w:val="20"/>
                <w:szCs w:val="20"/>
              </w:rPr>
            </w:pPr>
            <w:r>
              <w:rPr>
                <w:sz w:val="20"/>
                <w:szCs w:val="20"/>
              </w:rPr>
              <w:t xml:space="preserve">3.5.1.1. </w:t>
            </w:r>
            <w:r>
              <w:rPr>
                <w:rFonts w:ascii="Wingdings" w:hAnsi="Wingdings" w:cs="Wingdings"/>
                <w:color w:val="FF0000"/>
                <w:sz w:val="20"/>
                <w:szCs w:val="20"/>
              </w:rPr>
              <w:t></w:t>
            </w:r>
            <w:r>
              <w:rPr>
                <w:sz w:val="20"/>
                <w:szCs w:val="20"/>
              </w:rPr>
              <w:t xml:space="preserve">Pre-accession. The applicant must be interviewed by the legal office Superintendent at Air Force Recruiting Service (AFRS) or another representative as designated by the Career Field Manager (CFM) or Senior Enlisted Advisor (SEA) to The Judge Advocate General. </w:t>
            </w:r>
          </w:p>
          <w:p w14:paraId="7DAA249B" w14:textId="3B4373AE" w:rsidR="00361525" w:rsidRPr="00361525" w:rsidRDefault="007F0D22" w:rsidP="00361525">
            <w:pPr>
              <w:pStyle w:val="Default"/>
              <w:rPr>
                <w:sz w:val="20"/>
                <w:szCs w:val="20"/>
              </w:rPr>
            </w:pPr>
            <w:r>
              <w:rPr>
                <w:sz w:val="20"/>
                <w:szCs w:val="20"/>
              </w:rPr>
              <w:t xml:space="preserve">3.5.1.2. </w:t>
            </w:r>
            <w:r>
              <w:rPr>
                <w:rFonts w:ascii="Wingdings" w:hAnsi="Wingdings" w:cs="Wingdings"/>
                <w:color w:val="FF0000"/>
                <w:sz w:val="20"/>
                <w:szCs w:val="20"/>
              </w:rPr>
              <w:t></w:t>
            </w:r>
            <w:r>
              <w:rPr>
                <w:sz w:val="20"/>
                <w:szCs w:val="20"/>
              </w:rPr>
              <w:t xml:space="preserve">Post-accession Certification by the AFRS Staff Judge Advocate and representative that the individual has been interviewed and is acceptable for entry and approved by the CFM or SEA. </w:t>
            </w:r>
          </w:p>
          <w:p w14:paraId="034B4466" w14:textId="77777777" w:rsidR="00361525" w:rsidRDefault="00361525" w:rsidP="00361525">
            <w:pPr>
              <w:pStyle w:val="Default"/>
              <w:rPr>
                <w:sz w:val="20"/>
                <w:szCs w:val="20"/>
              </w:rPr>
            </w:pPr>
            <w:r>
              <w:rPr>
                <w:sz w:val="20"/>
                <w:szCs w:val="20"/>
              </w:rPr>
              <w:t xml:space="preserve">3.5.1.3. </w:t>
            </w:r>
            <w:r>
              <w:rPr>
                <w:rFonts w:ascii="Wingdings" w:hAnsi="Wingdings" w:cs="Wingdings"/>
                <w:color w:val="FF0000"/>
                <w:sz w:val="20"/>
                <w:szCs w:val="20"/>
              </w:rPr>
              <w:t></w:t>
            </w:r>
            <w:r>
              <w:rPr>
                <w:sz w:val="20"/>
                <w:szCs w:val="20"/>
              </w:rPr>
              <w:t xml:space="preserve">Active Duty retraining only. Must complete 10 duty-day observation period with the wing legal office and have a memorandum/recommendation signed by the Wing Staff Judge Advocate and Superintendent/NCOIC Legal Office summarizing assessment activities forwarded to the MAJCOM Functional Manage. Note: MAJCOM/FLDCOM Functional Managers may waive the 10 duty-day observation period for cause (in writing). </w:t>
            </w:r>
          </w:p>
          <w:p w14:paraId="798BBAB8" w14:textId="77777777" w:rsidR="00361525" w:rsidRDefault="00361525" w:rsidP="00361525">
            <w:pPr>
              <w:pStyle w:val="Default"/>
              <w:rPr>
                <w:sz w:val="20"/>
                <w:szCs w:val="20"/>
              </w:rPr>
            </w:pPr>
            <w:r>
              <w:rPr>
                <w:sz w:val="20"/>
                <w:szCs w:val="20"/>
              </w:rPr>
              <w:t xml:space="preserve">3.5.1.4. </w:t>
            </w:r>
            <w:r>
              <w:rPr>
                <w:rFonts w:ascii="Wingdings" w:hAnsi="Wingdings" w:cs="Wingdings"/>
                <w:color w:val="FF0000"/>
                <w:sz w:val="20"/>
                <w:szCs w:val="20"/>
              </w:rPr>
              <w:t></w:t>
            </w:r>
            <w:r>
              <w:rPr>
                <w:sz w:val="20"/>
                <w:szCs w:val="20"/>
              </w:rPr>
              <w:t xml:space="preserve">Certification by the Wing Staff Judge Advocate and Superintendent/NCOIC. Legal Office that the individual has been interviewed and is acceptable for entry and recommended for acceptance by the MAJCOM/FLDCOM Functional Manager or CFM (in certain circumstances). </w:t>
            </w:r>
          </w:p>
          <w:p w14:paraId="0087117F" w14:textId="77777777" w:rsidR="00361525" w:rsidRDefault="00361525" w:rsidP="00361525">
            <w:pPr>
              <w:pStyle w:val="Default"/>
              <w:rPr>
                <w:sz w:val="20"/>
                <w:szCs w:val="20"/>
              </w:rPr>
            </w:pPr>
            <w:r>
              <w:rPr>
                <w:sz w:val="20"/>
                <w:szCs w:val="20"/>
              </w:rPr>
              <w:t xml:space="preserve">3.5.1.5. See attachment 4 for additional entry requirements. </w:t>
            </w:r>
          </w:p>
          <w:p w14:paraId="58B6E7DD" w14:textId="77777777" w:rsidR="00361525" w:rsidRDefault="00361525" w:rsidP="00361525">
            <w:pPr>
              <w:pStyle w:val="Default"/>
              <w:rPr>
                <w:sz w:val="20"/>
                <w:szCs w:val="20"/>
              </w:rPr>
            </w:pPr>
            <w:r>
              <w:rPr>
                <w:sz w:val="20"/>
                <w:szCs w:val="20"/>
              </w:rPr>
              <w:t xml:space="preserve">3.5.1.6. </w:t>
            </w:r>
            <w:r>
              <w:rPr>
                <w:rFonts w:ascii="Wingdings" w:hAnsi="Wingdings" w:cs="Wingdings"/>
                <w:color w:val="FF0000"/>
                <w:sz w:val="20"/>
                <w:szCs w:val="20"/>
              </w:rPr>
              <w:t></w:t>
            </w:r>
            <w:r>
              <w:rPr>
                <w:sz w:val="20"/>
                <w:szCs w:val="20"/>
              </w:rPr>
              <w:t xml:space="preserve">No nonjudicial punishment under the provisions of Article 15, UCMJ in the previous 6 years. </w:t>
            </w:r>
          </w:p>
          <w:p w14:paraId="7BE9E200" w14:textId="77777777" w:rsidR="00361525" w:rsidRDefault="00361525" w:rsidP="00361525">
            <w:pPr>
              <w:pStyle w:val="Default"/>
              <w:rPr>
                <w:sz w:val="20"/>
                <w:szCs w:val="20"/>
              </w:rPr>
            </w:pPr>
          </w:p>
          <w:p w14:paraId="569001B3" w14:textId="77777777" w:rsidR="00361525" w:rsidRDefault="00361525" w:rsidP="00361525">
            <w:pPr>
              <w:pStyle w:val="Default"/>
              <w:rPr>
                <w:sz w:val="20"/>
                <w:szCs w:val="20"/>
              </w:rPr>
            </w:pPr>
            <w:r>
              <w:rPr>
                <w:sz w:val="20"/>
                <w:szCs w:val="20"/>
              </w:rPr>
              <w:t xml:space="preserve">3.5.2. For entry, award, and retention of this AFSC: 3.5.2.1. Ability to communicate effectively orally and in writing. </w:t>
            </w:r>
          </w:p>
          <w:p w14:paraId="6D9E18D9" w14:textId="77777777" w:rsidR="00361525" w:rsidRDefault="00361525" w:rsidP="00361525">
            <w:pPr>
              <w:pStyle w:val="Default"/>
              <w:rPr>
                <w:sz w:val="20"/>
                <w:szCs w:val="20"/>
              </w:rPr>
            </w:pPr>
            <w:r>
              <w:rPr>
                <w:sz w:val="20"/>
                <w:szCs w:val="20"/>
              </w:rPr>
              <w:t xml:space="preserve">3.5.2.2. Ability to keyboard at a minimum rate of 25 words per minute. </w:t>
            </w:r>
          </w:p>
          <w:p w14:paraId="652C4174" w14:textId="77777777" w:rsidR="00361525" w:rsidRDefault="00361525" w:rsidP="00361525">
            <w:pPr>
              <w:pStyle w:val="Default"/>
              <w:rPr>
                <w:sz w:val="20"/>
                <w:szCs w:val="20"/>
              </w:rPr>
            </w:pPr>
            <w:r>
              <w:rPr>
                <w:sz w:val="20"/>
                <w:szCs w:val="20"/>
              </w:rPr>
              <w:t xml:space="preserve">3.5.2.3. Ability to speak clearly and distinctly. </w:t>
            </w:r>
          </w:p>
          <w:p w14:paraId="6DD7EC75" w14:textId="77777777" w:rsidR="00361525" w:rsidRDefault="00361525" w:rsidP="00361525">
            <w:pPr>
              <w:pStyle w:val="Default"/>
              <w:rPr>
                <w:sz w:val="20"/>
                <w:szCs w:val="20"/>
              </w:rPr>
            </w:pPr>
            <w:r>
              <w:rPr>
                <w:sz w:val="20"/>
                <w:szCs w:val="20"/>
              </w:rPr>
              <w:t xml:space="preserve">3.5.2.4. </w:t>
            </w:r>
            <w:r>
              <w:rPr>
                <w:rFonts w:ascii="Wingdings" w:hAnsi="Wingdings" w:cs="Wingdings"/>
                <w:color w:val="FF0000"/>
                <w:sz w:val="20"/>
                <w:szCs w:val="20"/>
              </w:rPr>
              <w:t></w:t>
            </w:r>
            <w:r>
              <w:rPr>
                <w:sz w:val="20"/>
                <w:szCs w:val="20"/>
              </w:rPr>
              <w:t xml:space="preserve">No significant record of emotional instability, personality disorder, or other unresolved mental health concerns that may result the impairment of the paralegal duty function, or risk to the mission, as diagnosed by a certified medical provider. </w:t>
            </w:r>
          </w:p>
          <w:p w14:paraId="0F97453C" w14:textId="77777777" w:rsidR="00361525" w:rsidRDefault="00361525" w:rsidP="00361525">
            <w:pPr>
              <w:pStyle w:val="Default"/>
              <w:rPr>
                <w:sz w:val="20"/>
                <w:szCs w:val="20"/>
              </w:rPr>
            </w:pPr>
            <w:r>
              <w:rPr>
                <w:sz w:val="20"/>
                <w:szCs w:val="20"/>
              </w:rPr>
              <w:t xml:space="preserve">3.5.2.5. No record of substance abuse, domestic violence, or child abuse. </w:t>
            </w:r>
          </w:p>
          <w:p w14:paraId="3947C4AC" w14:textId="77777777" w:rsidR="00361525" w:rsidRDefault="00361525" w:rsidP="00361525">
            <w:pPr>
              <w:pStyle w:val="Default"/>
              <w:rPr>
                <w:sz w:val="20"/>
                <w:szCs w:val="20"/>
              </w:rPr>
            </w:pPr>
            <w:r>
              <w:rPr>
                <w:sz w:val="20"/>
                <w:szCs w:val="20"/>
              </w:rPr>
              <w:t xml:space="preserve">3.5.2.6. No convictions by courts martial. </w:t>
            </w:r>
          </w:p>
          <w:p w14:paraId="1150C4F7" w14:textId="77777777" w:rsidR="00361525" w:rsidRDefault="00361525" w:rsidP="00361525">
            <w:pPr>
              <w:pStyle w:val="Default"/>
              <w:rPr>
                <w:sz w:val="20"/>
                <w:szCs w:val="20"/>
              </w:rPr>
            </w:pPr>
            <w:r>
              <w:rPr>
                <w:sz w:val="20"/>
                <w:szCs w:val="20"/>
              </w:rPr>
              <w:t xml:space="preserve">3.5.2.7. </w:t>
            </w:r>
            <w:r>
              <w:rPr>
                <w:rFonts w:ascii="Wingdings" w:hAnsi="Wingdings" w:cs="Wingdings"/>
                <w:color w:val="FF0000"/>
                <w:sz w:val="20"/>
                <w:szCs w:val="20"/>
              </w:rPr>
              <w:t></w:t>
            </w:r>
            <w:r>
              <w:rPr>
                <w:sz w:val="20"/>
                <w:szCs w:val="20"/>
              </w:rPr>
              <w:t xml:space="preserve">No convictions by a civilian court except for minor traffic violations and similar infractions listed DAFMAN 36-2032, Military Recruiting </w:t>
            </w:r>
            <w:r>
              <w:rPr>
                <w:i/>
                <w:iCs/>
                <w:sz w:val="20"/>
                <w:szCs w:val="20"/>
              </w:rPr>
              <w:t>Accessions</w:t>
            </w:r>
            <w:r>
              <w:rPr>
                <w:sz w:val="20"/>
                <w:szCs w:val="20"/>
              </w:rPr>
              <w:t xml:space="preserve">. </w:t>
            </w:r>
          </w:p>
          <w:p w14:paraId="62A10056" w14:textId="77777777" w:rsidR="00361525" w:rsidRDefault="00361525" w:rsidP="00361525">
            <w:pPr>
              <w:pStyle w:val="Default"/>
              <w:rPr>
                <w:sz w:val="20"/>
                <w:szCs w:val="20"/>
              </w:rPr>
            </w:pPr>
            <w:r>
              <w:rPr>
                <w:i/>
                <w:iCs/>
                <w:sz w:val="20"/>
                <w:szCs w:val="20"/>
              </w:rPr>
              <w:t xml:space="preserve">3.5.2.8. </w:t>
            </w:r>
            <w:r>
              <w:rPr>
                <w:rFonts w:ascii="Wingdings" w:hAnsi="Wingdings" w:cs="Wingdings"/>
                <w:color w:val="FF0000"/>
                <w:sz w:val="20"/>
                <w:szCs w:val="20"/>
              </w:rPr>
              <w:t></w:t>
            </w:r>
            <w:r>
              <w:rPr>
                <w:sz w:val="20"/>
                <w:szCs w:val="20"/>
              </w:rPr>
              <w:t xml:space="preserve">No nonjudicial punishment or administrative action (Letter of Reprimand, Letter of Admonishment, Letter of Counseling, or Record of Individual Counseling) based on sexual assault, sexual harassment, physical abuse or unprofessional or inappropriate relationship as defined in AFI 36-2909, Air Force Professional Relationships and Conduct. </w:t>
            </w:r>
          </w:p>
          <w:p w14:paraId="5596BD74" w14:textId="77777777" w:rsidR="00361525" w:rsidRDefault="00361525" w:rsidP="00361525">
            <w:pPr>
              <w:pStyle w:val="Default"/>
              <w:rPr>
                <w:sz w:val="20"/>
                <w:szCs w:val="20"/>
              </w:rPr>
            </w:pPr>
            <w:r>
              <w:rPr>
                <w:sz w:val="20"/>
                <w:szCs w:val="20"/>
              </w:rPr>
              <w:t xml:space="preserve">3.5.2.9. </w:t>
            </w:r>
            <w:r>
              <w:rPr>
                <w:rFonts w:ascii="Wingdings" w:hAnsi="Wingdings" w:cs="Wingdings"/>
                <w:color w:val="FF0000"/>
                <w:sz w:val="20"/>
                <w:szCs w:val="20"/>
              </w:rPr>
              <w:t></w:t>
            </w:r>
            <w:r>
              <w:rPr>
                <w:sz w:val="20"/>
                <w:szCs w:val="20"/>
              </w:rPr>
              <w:t xml:space="preserve">No nonjudicial punishment or administrative action (Letter of Reprimand, Letter of Admonishment, Letter of Counseling, Record of Individual Counseling) reflecting a lack of integrity, and/or for violating ethical standards and/or professional responsibilities as defined in DAFI 51-110, Professional Responsibility Program and DAFI 51-101, The Air Force Judge Advocate General’s (AFJAG) Corps Operations, Accessions and Professional Development. </w:t>
            </w:r>
          </w:p>
          <w:p w14:paraId="12EEFFA8" w14:textId="77777777" w:rsidR="00361525" w:rsidRDefault="00361525" w:rsidP="00361525">
            <w:pPr>
              <w:pStyle w:val="Default"/>
              <w:rPr>
                <w:sz w:val="20"/>
                <w:szCs w:val="20"/>
              </w:rPr>
            </w:pPr>
            <w:r>
              <w:rPr>
                <w:sz w:val="20"/>
                <w:szCs w:val="20"/>
              </w:rPr>
              <w:t xml:space="preserve">3.5.2.10. Must maintain local network access IAW AFI 17-130, </w:t>
            </w:r>
            <w:r>
              <w:rPr>
                <w:i/>
                <w:iCs/>
                <w:sz w:val="20"/>
                <w:szCs w:val="20"/>
              </w:rPr>
              <w:t xml:space="preserve">Cybersecurity Program Management </w:t>
            </w:r>
            <w:r>
              <w:rPr>
                <w:sz w:val="20"/>
                <w:szCs w:val="20"/>
              </w:rPr>
              <w:t xml:space="preserve">and AFMAN 17-1301, </w:t>
            </w:r>
            <w:r>
              <w:rPr>
                <w:i/>
                <w:iCs/>
                <w:sz w:val="20"/>
                <w:szCs w:val="20"/>
              </w:rPr>
              <w:t xml:space="preserve">Computer Security. </w:t>
            </w:r>
          </w:p>
          <w:p w14:paraId="100C9BDA" w14:textId="25B9B926" w:rsidR="00361525" w:rsidRDefault="00361525" w:rsidP="00361525">
            <w:pPr>
              <w:pStyle w:val="Default"/>
              <w:rPr>
                <w:sz w:val="20"/>
                <w:szCs w:val="20"/>
              </w:rPr>
            </w:pPr>
            <w:r>
              <w:rPr>
                <w:i/>
                <w:iCs/>
                <w:sz w:val="20"/>
                <w:szCs w:val="20"/>
              </w:rPr>
              <w:t xml:space="preserve">3.5.2.11. </w:t>
            </w:r>
            <w:r>
              <w:rPr>
                <w:rFonts w:ascii="Wingdings" w:hAnsi="Wingdings" w:cs="Wingdings"/>
                <w:color w:val="FF0000"/>
                <w:sz w:val="20"/>
                <w:szCs w:val="20"/>
              </w:rPr>
              <w:t></w:t>
            </w:r>
            <w:r>
              <w:rPr>
                <w:sz w:val="20"/>
                <w:szCs w:val="20"/>
              </w:rPr>
              <w:t xml:space="preserve">Specialty may require routine access to Tier 3 (T3) information, systems, or similar classified environments (a current T3 Investigation required IAW DoDM 5200.02, DAFMAN 16-1405, </w:t>
            </w:r>
            <w:r>
              <w:rPr>
                <w:i/>
                <w:iCs/>
                <w:sz w:val="20"/>
                <w:szCs w:val="20"/>
              </w:rPr>
              <w:t xml:space="preserve">Air Force Personnel Security Program, </w:t>
            </w:r>
          </w:p>
          <w:p w14:paraId="4EC3B9F5" w14:textId="77777777" w:rsidR="00361525" w:rsidRDefault="00361525" w:rsidP="00361525">
            <w:pPr>
              <w:pStyle w:val="Default"/>
              <w:rPr>
                <w:sz w:val="20"/>
                <w:szCs w:val="20"/>
              </w:rPr>
            </w:pPr>
            <w:r>
              <w:rPr>
                <w:b/>
                <w:bCs/>
                <w:i/>
                <w:iCs/>
                <w:sz w:val="20"/>
                <w:szCs w:val="20"/>
              </w:rPr>
              <w:t>NOTE</w:t>
            </w:r>
            <w:r>
              <w:rPr>
                <w:i/>
                <w:iCs/>
                <w:sz w:val="20"/>
                <w:szCs w:val="20"/>
              </w:rPr>
              <w:t xml:space="preserve">: </w:t>
            </w:r>
            <w:r>
              <w:rPr>
                <w:sz w:val="20"/>
                <w:szCs w:val="20"/>
              </w:rPr>
              <w:t xml:space="preserve">Award of the entry level without a completed T3 Investigation is authorized provided an interim Secret security clearance has been granted according to DoDM 5200.02, DAFMAN 16-1405. </w:t>
            </w:r>
          </w:p>
          <w:p w14:paraId="45C1DBF2" w14:textId="77777777" w:rsidR="00361525" w:rsidRDefault="00361525" w:rsidP="00361525">
            <w:pPr>
              <w:pStyle w:val="Default"/>
              <w:rPr>
                <w:sz w:val="20"/>
                <w:szCs w:val="20"/>
              </w:rPr>
            </w:pPr>
            <w:r>
              <w:rPr>
                <w:sz w:val="20"/>
                <w:szCs w:val="20"/>
              </w:rPr>
              <w:t xml:space="preserve">3.5 Air Reserve Forces Only: 3.6.1. Must complete the Paralegal Reserve Orientation Course (ROC) within 18 months of accession. </w:t>
            </w:r>
          </w:p>
          <w:p w14:paraId="391FBAFD" w14:textId="77777777" w:rsidR="00361525" w:rsidRDefault="00361525" w:rsidP="00361525">
            <w:pPr>
              <w:pStyle w:val="Default"/>
              <w:rPr>
                <w:sz w:val="20"/>
                <w:szCs w:val="20"/>
              </w:rPr>
            </w:pPr>
            <w:r>
              <w:rPr>
                <w:sz w:val="20"/>
                <w:szCs w:val="20"/>
              </w:rPr>
              <w:t xml:space="preserve">3.6.2. </w:t>
            </w:r>
            <w:r>
              <w:rPr>
                <w:rFonts w:ascii="Wingdings" w:hAnsi="Wingdings" w:cs="Wingdings"/>
                <w:color w:val="FF0000"/>
                <w:sz w:val="20"/>
                <w:szCs w:val="20"/>
              </w:rPr>
              <w:t></w:t>
            </w:r>
            <w:r>
              <w:rPr>
                <w:sz w:val="20"/>
                <w:szCs w:val="20"/>
              </w:rPr>
              <w:t xml:space="preserve">Must attend the Annual Survey of the Law every three years, starting three years after their accession to The Judge Advocate General’s Corps or three years after their first attendance at the Reserve Forces Paralegal Course, whichever occurs sooner. </w:t>
            </w:r>
          </w:p>
          <w:p w14:paraId="71DD13CA" w14:textId="4D351B91" w:rsidR="007F0D22" w:rsidRDefault="00361525" w:rsidP="007F0D22">
            <w:pPr>
              <w:pStyle w:val="Default"/>
              <w:rPr>
                <w:sz w:val="20"/>
                <w:szCs w:val="20"/>
              </w:rPr>
            </w:pPr>
            <w:r>
              <w:rPr>
                <w:sz w:val="20"/>
                <w:szCs w:val="20"/>
              </w:rPr>
              <w:t>3.6.3. Must attend Reserve Forces Paralegal Course (RFPC) once every four years.</w:t>
            </w:r>
          </w:p>
          <w:p w14:paraId="6DB59D82" w14:textId="77777777" w:rsidR="006A4FE4" w:rsidRDefault="006A4FE4" w:rsidP="006A4FE4">
            <w:pPr>
              <w:pStyle w:val="Default"/>
              <w:jc w:val="center"/>
              <w:rPr>
                <w:rFonts w:asciiTheme="minorHAnsi" w:hAnsiTheme="minorHAnsi" w:cstheme="minorHAnsi"/>
                <w:b/>
                <w:bCs/>
                <w:sz w:val="22"/>
                <w:szCs w:val="22"/>
                <w:u w:val="single"/>
              </w:rPr>
            </w:pPr>
          </w:p>
          <w:p w14:paraId="15142C1D" w14:textId="6474BE4E" w:rsidR="006A4FE4" w:rsidRPr="006A4FE4" w:rsidRDefault="006A4FE4" w:rsidP="006A4FE4">
            <w:pPr>
              <w:pStyle w:val="Default"/>
              <w:jc w:val="center"/>
              <w:rPr>
                <w:rFonts w:asciiTheme="minorHAnsi" w:hAnsiTheme="minorHAnsi" w:cstheme="minorHAnsi"/>
                <w:b/>
                <w:bCs/>
                <w:sz w:val="22"/>
                <w:szCs w:val="22"/>
                <w:u w:val="single"/>
              </w:rPr>
            </w:pPr>
            <w:r w:rsidRPr="006A4FE4">
              <w:rPr>
                <w:rFonts w:asciiTheme="minorHAnsi" w:hAnsiTheme="minorHAnsi" w:cstheme="minorHAnsi"/>
                <w:b/>
                <w:bCs/>
                <w:sz w:val="22"/>
                <w:szCs w:val="22"/>
                <w:u w:val="single"/>
              </w:rPr>
              <w:t>APPLICATION PROCEDURES</w:t>
            </w:r>
          </w:p>
          <w:p w14:paraId="4DA7146F" w14:textId="77777777" w:rsidR="006A4FE4" w:rsidRDefault="006A4FE4" w:rsidP="006A4FE4">
            <w:pPr>
              <w:pStyle w:val="Default"/>
              <w:rPr>
                <w:sz w:val="20"/>
                <w:szCs w:val="20"/>
              </w:rPr>
            </w:pPr>
            <w:r w:rsidRPr="006A4FE4">
              <w:rPr>
                <w:sz w:val="20"/>
                <w:szCs w:val="20"/>
              </w:rPr>
              <w:t>Applicants will prepare and email their application package in one (1) PDF titled as follows</w:t>
            </w:r>
            <w:r>
              <w:rPr>
                <w:sz w:val="20"/>
                <w:szCs w:val="20"/>
              </w:rPr>
              <w:t xml:space="preserve"> </w:t>
            </w:r>
            <w:r w:rsidRPr="006A4FE4">
              <w:rPr>
                <w:sz w:val="20"/>
                <w:szCs w:val="20"/>
              </w:rPr>
              <w:t>FY</w:t>
            </w:r>
            <w:r>
              <w:rPr>
                <w:sz w:val="20"/>
                <w:szCs w:val="20"/>
              </w:rPr>
              <w:t>25</w:t>
            </w:r>
            <w:r w:rsidRPr="006A4FE4">
              <w:rPr>
                <w:sz w:val="20"/>
                <w:szCs w:val="20"/>
              </w:rPr>
              <w:t xml:space="preserve"> </w:t>
            </w:r>
            <w:r>
              <w:rPr>
                <w:sz w:val="20"/>
                <w:szCs w:val="20"/>
              </w:rPr>
              <w:t>122</w:t>
            </w:r>
            <w:r w:rsidRPr="006A4FE4">
              <w:rPr>
                <w:sz w:val="20"/>
                <w:szCs w:val="20"/>
              </w:rPr>
              <w:t xml:space="preserve"> LAST</w:t>
            </w:r>
            <w:r>
              <w:rPr>
                <w:sz w:val="20"/>
                <w:szCs w:val="20"/>
              </w:rPr>
              <w:t>,</w:t>
            </w:r>
            <w:r w:rsidRPr="006A4FE4">
              <w:rPr>
                <w:sz w:val="20"/>
                <w:szCs w:val="20"/>
              </w:rPr>
              <w:t xml:space="preserve"> FIRST (ex. FY25 12</w:t>
            </w:r>
            <w:r>
              <w:rPr>
                <w:sz w:val="20"/>
                <w:szCs w:val="20"/>
              </w:rPr>
              <w:t>2</w:t>
            </w:r>
            <w:r w:rsidRPr="006A4FE4">
              <w:rPr>
                <w:sz w:val="20"/>
                <w:szCs w:val="20"/>
              </w:rPr>
              <w:t xml:space="preserve"> SMITH</w:t>
            </w:r>
            <w:r>
              <w:rPr>
                <w:sz w:val="20"/>
                <w:szCs w:val="20"/>
              </w:rPr>
              <w:t>,</w:t>
            </w:r>
            <w:r w:rsidRPr="006A4FE4">
              <w:rPr>
                <w:sz w:val="20"/>
                <w:szCs w:val="20"/>
              </w:rPr>
              <w:t xml:space="preserve"> JOHN).</w:t>
            </w:r>
          </w:p>
          <w:p w14:paraId="156882CF" w14:textId="77777777" w:rsidR="006A4FE4" w:rsidRDefault="006A4FE4" w:rsidP="006A4FE4">
            <w:pPr>
              <w:pStyle w:val="Default"/>
              <w:rPr>
                <w:sz w:val="20"/>
                <w:szCs w:val="20"/>
              </w:rPr>
            </w:pPr>
          </w:p>
          <w:p w14:paraId="3F02999F" w14:textId="25A68119" w:rsidR="006A4FE4" w:rsidRDefault="006A4FE4" w:rsidP="006A4FE4">
            <w:pPr>
              <w:pStyle w:val="Default"/>
              <w:rPr>
                <w:sz w:val="20"/>
                <w:szCs w:val="20"/>
              </w:rPr>
            </w:pPr>
            <w:r w:rsidRPr="006A4FE4">
              <w:rPr>
                <w:sz w:val="20"/>
                <w:szCs w:val="20"/>
              </w:rPr>
              <w:t>Interested members will submit the following:</w:t>
            </w:r>
          </w:p>
          <w:p w14:paraId="1DEBA805" w14:textId="77777777" w:rsidR="00623D87" w:rsidRPr="006A4FE4" w:rsidRDefault="00623D87" w:rsidP="006A4FE4">
            <w:pPr>
              <w:pStyle w:val="Default"/>
              <w:rPr>
                <w:sz w:val="20"/>
                <w:szCs w:val="20"/>
              </w:rPr>
            </w:pPr>
          </w:p>
          <w:p w14:paraId="74A819AA" w14:textId="77777777" w:rsidR="006A4FE4" w:rsidRPr="006A4FE4" w:rsidRDefault="006A4FE4" w:rsidP="006A4FE4">
            <w:pPr>
              <w:pStyle w:val="Default"/>
              <w:rPr>
                <w:sz w:val="20"/>
                <w:szCs w:val="20"/>
              </w:rPr>
            </w:pPr>
            <w:r w:rsidRPr="006A4FE4">
              <w:rPr>
                <w:sz w:val="20"/>
                <w:szCs w:val="20"/>
              </w:rPr>
              <w:t>Last 3 EPR's, Resume (Military and/or Civilian), Official AF Biography, myFitness Report, vMPF RIP (record review – ALL pages), NOTE: Reference Letters are NOT required. If provided, limit to no more than (3)</w:t>
            </w:r>
          </w:p>
          <w:p w14:paraId="6FED90C1" w14:textId="77777777" w:rsidR="006A4FE4" w:rsidRPr="006A4FE4" w:rsidRDefault="006A4FE4" w:rsidP="006A4FE4">
            <w:pPr>
              <w:pStyle w:val="Default"/>
              <w:rPr>
                <w:sz w:val="20"/>
                <w:szCs w:val="20"/>
              </w:rPr>
            </w:pPr>
          </w:p>
          <w:p w14:paraId="096E2255" w14:textId="08631B14" w:rsidR="00C97E6C" w:rsidRDefault="006A4FE4" w:rsidP="006A4FE4">
            <w:pPr>
              <w:pStyle w:val="Default"/>
              <w:rPr>
                <w:sz w:val="20"/>
                <w:szCs w:val="20"/>
              </w:rPr>
            </w:pPr>
            <w:r w:rsidRPr="006A4FE4">
              <w:rPr>
                <w:sz w:val="20"/>
                <w:szCs w:val="20"/>
              </w:rPr>
              <w:t xml:space="preserve">E-Mail application packages </w:t>
            </w:r>
            <w:r w:rsidR="00C97E6C" w:rsidRPr="006A4FE4">
              <w:rPr>
                <w:sz w:val="20"/>
                <w:szCs w:val="20"/>
              </w:rPr>
              <w:t>to</w:t>
            </w:r>
            <w:r w:rsidR="00C97E6C">
              <w:rPr>
                <w:sz w:val="20"/>
                <w:szCs w:val="20"/>
              </w:rPr>
              <w:t xml:space="preserve">: </w:t>
            </w:r>
            <w:r w:rsidR="00634D9B">
              <w:rPr>
                <w:sz w:val="20"/>
                <w:szCs w:val="20"/>
              </w:rPr>
              <w:t>S</w:t>
            </w:r>
            <w:r w:rsidRPr="006A4FE4">
              <w:rPr>
                <w:sz w:val="20"/>
                <w:szCs w:val="20"/>
              </w:rPr>
              <w:t xml:space="preserve">MSgt </w:t>
            </w:r>
            <w:r w:rsidR="00634D9B">
              <w:rPr>
                <w:sz w:val="20"/>
                <w:szCs w:val="20"/>
              </w:rPr>
              <w:t>Anastasia Guard and MSgt Zugiel Soto</w:t>
            </w:r>
            <w:r w:rsidRPr="006A4FE4">
              <w:rPr>
                <w:sz w:val="20"/>
                <w:szCs w:val="20"/>
              </w:rPr>
              <w:t xml:space="preserve"> </w:t>
            </w:r>
          </w:p>
          <w:p w14:paraId="199E7A75" w14:textId="77777777" w:rsidR="00C97E6C" w:rsidRDefault="00C97E6C" w:rsidP="006A4FE4">
            <w:pPr>
              <w:pStyle w:val="Default"/>
              <w:rPr>
                <w:sz w:val="20"/>
                <w:szCs w:val="20"/>
              </w:rPr>
            </w:pPr>
          </w:p>
          <w:p w14:paraId="12B3D352" w14:textId="6CA24897" w:rsidR="00C97E6C" w:rsidRDefault="00C97E6C" w:rsidP="006A4FE4">
            <w:pPr>
              <w:pStyle w:val="Default"/>
              <w:rPr>
                <w:color w:val="auto"/>
                <w:sz w:val="20"/>
                <w:szCs w:val="20"/>
              </w:rPr>
            </w:pPr>
            <w:hyperlink r:id="rId11" w:history="1">
              <w:r w:rsidRPr="00743900">
                <w:rPr>
                  <w:rStyle w:val="Hyperlink"/>
                  <w:sz w:val="20"/>
                  <w:szCs w:val="20"/>
                </w:rPr>
                <w:t>anastasia.guard.1@us.af.mil</w:t>
              </w:r>
            </w:hyperlink>
          </w:p>
          <w:p w14:paraId="1395C53F" w14:textId="77777777" w:rsidR="00C97E6C" w:rsidRDefault="00C97E6C" w:rsidP="006A4FE4">
            <w:pPr>
              <w:pStyle w:val="Default"/>
              <w:rPr>
                <w:color w:val="auto"/>
                <w:sz w:val="20"/>
                <w:szCs w:val="20"/>
              </w:rPr>
            </w:pPr>
          </w:p>
          <w:p w14:paraId="494D1A4D" w14:textId="41E668D3" w:rsidR="007F0D22" w:rsidRDefault="00C97E6C" w:rsidP="006A4FE4">
            <w:pPr>
              <w:pStyle w:val="Default"/>
              <w:rPr>
                <w:sz w:val="20"/>
                <w:szCs w:val="20"/>
              </w:rPr>
            </w:pPr>
            <w:hyperlink r:id="rId12" w:history="1">
              <w:r w:rsidRPr="00743900">
                <w:rPr>
                  <w:rStyle w:val="Hyperlink"/>
                  <w:sz w:val="20"/>
                  <w:szCs w:val="20"/>
                </w:rPr>
                <w:t>zugiel.soto.2@us.af.mil</w:t>
              </w:r>
            </w:hyperlink>
            <w:r w:rsidRPr="00C97E6C">
              <w:rPr>
                <w:color w:val="auto"/>
                <w:sz w:val="20"/>
                <w:szCs w:val="20"/>
              </w:rPr>
              <w:t xml:space="preserve"> </w:t>
            </w:r>
          </w:p>
          <w:p w14:paraId="2DF6E7CC" w14:textId="77777777" w:rsidR="007F0D22" w:rsidRDefault="007F0D22" w:rsidP="007F0D22">
            <w:pPr>
              <w:pStyle w:val="Default"/>
              <w:rPr>
                <w:sz w:val="20"/>
                <w:szCs w:val="20"/>
              </w:rPr>
            </w:pPr>
          </w:p>
          <w:p w14:paraId="4CFC2B7D" w14:textId="77777777" w:rsidR="007F0D22" w:rsidRDefault="007F0D22" w:rsidP="007F0D22">
            <w:pPr>
              <w:pStyle w:val="TableParagraph"/>
              <w:rPr>
                <w:rFonts w:ascii="Arial"/>
                <w:b/>
                <w:spacing w:val="-1"/>
                <w:szCs w:val="20"/>
              </w:rPr>
            </w:pPr>
          </w:p>
          <w:p w14:paraId="59F13B55" w14:textId="77777777" w:rsidR="007F0D22" w:rsidRDefault="007F0D22" w:rsidP="0070582E">
            <w:pPr>
              <w:pStyle w:val="TableParagraph"/>
              <w:jc w:val="center"/>
              <w:rPr>
                <w:rFonts w:ascii="Arial"/>
                <w:b/>
                <w:spacing w:val="-1"/>
                <w:szCs w:val="20"/>
              </w:rPr>
            </w:pPr>
          </w:p>
          <w:p w14:paraId="7DDBE7E3" w14:textId="77777777" w:rsidR="007F0D22" w:rsidRDefault="007F0D22" w:rsidP="0070582E">
            <w:pPr>
              <w:pStyle w:val="TableParagraph"/>
              <w:jc w:val="center"/>
              <w:rPr>
                <w:rFonts w:ascii="Arial"/>
                <w:b/>
                <w:spacing w:val="-1"/>
                <w:szCs w:val="20"/>
              </w:rPr>
            </w:pPr>
          </w:p>
          <w:p w14:paraId="79AD28CD" w14:textId="77777777" w:rsidR="007F0D22" w:rsidRDefault="007F0D22" w:rsidP="0070582E">
            <w:pPr>
              <w:pStyle w:val="TableParagraph"/>
              <w:jc w:val="center"/>
              <w:rPr>
                <w:rFonts w:ascii="Arial"/>
                <w:b/>
                <w:spacing w:val="-1"/>
                <w:szCs w:val="20"/>
              </w:rPr>
            </w:pPr>
          </w:p>
          <w:p w14:paraId="2AECAB9A" w14:textId="77777777" w:rsidR="007F0D22" w:rsidRDefault="007F0D22" w:rsidP="0070582E">
            <w:pPr>
              <w:pStyle w:val="TableParagraph"/>
              <w:jc w:val="center"/>
              <w:rPr>
                <w:rFonts w:ascii="Arial"/>
                <w:b/>
                <w:spacing w:val="-1"/>
                <w:szCs w:val="20"/>
              </w:rPr>
            </w:pPr>
          </w:p>
          <w:p w14:paraId="4CE5214F" w14:textId="77777777" w:rsidR="007F0D22" w:rsidRDefault="007F0D22" w:rsidP="0070582E">
            <w:pPr>
              <w:pStyle w:val="TableParagraph"/>
              <w:jc w:val="center"/>
              <w:rPr>
                <w:rFonts w:ascii="Arial"/>
                <w:b/>
                <w:spacing w:val="-1"/>
                <w:szCs w:val="20"/>
              </w:rPr>
            </w:pPr>
          </w:p>
          <w:p w14:paraId="4782C187" w14:textId="77777777" w:rsidR="007F0D22" w:rsidRDefault="007F0D22" w:rsidP="0070582E">
            <w:pPr>
              <w:pStyle w:val="TableParagraph"/>
              <w:jc w:val="center"/>
              <w:rPr>
                <w:rFonts w:ascii="Arial"/>
                <w:b/>
                <w:spacing w:val="-1"/>
                <w:szCs w:val="20"/>
              </w:rPr>
            </w:pPr>
          </w:p>
          <w:p w14:paraId="0A51D3CC" w14:textId="77777777" w:rsidR="007F0D22" w:rsidRDefault="007F0D22" w:rsidP="0070582E">
            <w:pPr>
              <w:pStyle w:val="TableParagraph"/>
              <w:jc w:val="center"/>
              <w:rPr>
                <w:rFonts w:ascii="Arial"/>
                <w:b/>
                <w:spacing w:val="-1"/>
                <w:szCs w:val="20"/>
              </w:rPr>
            </w:pPr>
          </w:p>
          <w:p w14:paraId="56C000EC" w14:textId="77777777" w:rsidR="007F0D22" w:rsidRDefault="007F0D22" w:rsidP="0070582E">
            <w:pPr>
              <w:pStyle w:val="TableParagraph"/>
              <w:jc w:val="center"/>
              <w:rPr>
                <w:rFonts w:ascii="Arial"/>
                <w:b/>
                <w:spacing w:val="-1"/>
                <w:szCs w:val="20"/>
              </w:rPr>
            </w:pPr>
          </w:p>
          <w:p w14:paraId="0068A446" w14:textId="77777777" w:rsidR="007F0D22" w:rsidRDefault="007F0D22" w:rsidP="0070582E">
            <w:pPr>
              <w:pStyle w:val="TableParagraph"/>
              <w:jc w:val="center"/>
              <w:rPr>
                <w:rFonts w:ascii="Arial"/>
                <w:b/>
                <w:spacing w:val="-1"/>
                <w:szCs w:val="20"/>
              </w:rPr>
            </w:pPr>
          </w:p>
          <w:p w14:paraId="551531A4" w14:textId="77777777" w:rsidR="007F0D22" w:rsidRDefault="007F0D22" w:rsidP="0070582E">
            <w:pPr>
              <w:pStyle w:val="TableParagraph"/>
              <w:jc w:val="center"/>
              <w:rPr>
                <w:rFonts w:ascii="Arial"/>
                <w:b/>
                <w:spacing w:val="-1"/>
                <w:szCs w:val="20"/>
              </w:rPr>
            </w:pPr>
          </w:p>
          <w:p w14:paraId="08AB216D" w14:textId="77777777" w:rsidR="007F0D22" w:rsidRDefault="007F0D22" w:rsidP="0070582E">
            <w:pPr>
              <w:pStyle w:val="TableParagraph"/>
              <w:jc w:val="center"/>
              <w:rPr>
                <w:rFonts w:ascii="Arial"/>
                <w:b/>
                <w:spacing w:val="-1"/>
                <w:szCs w:val="20"/>
              </w:rPr>
            </w:pPr>
          </w:p>
          <w:p w14:paraId="073BE922" w14:textId="77777777" w:rsidR="007F0D22" w:rsidRDefault="007F0D22" w:rsidP="0070582E">
            <w:pPr>
              <w:pStyle w:val="TableParagraph"/>
              <w:jc w:val="center"/>
              <w:rPr>
                <w:rFonts w:ascii="Arial"/>
                <w:b/>
                <w:spacing w:val="-1"/>
                <w:szCs w:val="20"/>
              </w:rPr>
            </w:pPr>
          </w:p>
          <w:p w14:paraId="53531804" w14:textId="77777777" w:rsidR="007F0D22" w:rsidRDefault="007F0D22" w:rsidP="0070582E">
            <w:pPr>
              <w:pStyle w:val="TableParagraph"/>
              <w:jc w:val="center"/>
              <w:rPr>
                <w:rFonts w:ascii="Arial"/>
                <w:b/>
                <w:spacing w:val="-1"/>
                <w:szCs w:val="20"/>
              </w:rPr>
            </w:pPr>
          </w:p>
          <w:p w14:paraId="1D361493" w14:textId="77777777" w:rsidR="007F0D22" w:rsidRDefault="007F0D22" w:rsidP="0070582E">
            <w:pPr>
              <w:pStyle w:val="TableParagraph"/>
              <w:jc w:val="center"/>
              <w:rPr>
                <w:rFonts w:ascii="Arial"/>
                <w:b/>
                <w:spacing w:val="-1"/>
                <w:szCs w:val="20"/>
              </w:rPr>
            </w:pPr>
          </w:p>
          <w:p w14:paraId="664013CE" w14:textId="77777777" w:rsidR="007F0D22" w:rsidRDefault="007F0D22" w:rsidP="0070582E">
            <w:pPr>
              <w:pStyle w:val="TableParagraph"/>
              <w:jc w:val="center"/>
              <w:rPr>
                <w:rFonts w:ascii="Arial"/>
                <w:b/>
                <w:spacing w:val="-1"/>
                <w:szCs w:val="20"/>
              </w:rPr>
            </w:pPr>
          </w:p>
          <w:p w14:paraId="3E5D571A" w14:textId="77777777" w:rsidR="007F0D22" w:rsidRDefault="007F0D22" w:rsidP="0070582E">
            <w:pPr>
              <w:pStyle w:val="TableParagraph"/>
              <w:jc w:val="center"/>
              <w:rPr>
                <w:rFonts w:ascii="Arial"/>
                <w:b/>
                <w:spacing w:val="-1"/>
                <w:szCs w:val="20"/>
              </w:rPr>
            </w:pPr>
          </w:p>
          <w:p w14:paraId="34A1447D" w14:textId="77777777" w:rsidR="007F0D22" w:rsidRDefault="007F0D22" w:rsidP="0070582E">
            <w:pPr>
              <w:pStyle w:val="TableParagraph"/>
              <w:jc w:val="center"/>
              <w:rPr>
                <w:rFonts w:ascii="Arial"/>
                <w:b/>
                <w:spacing w:val="-1"/>
                <w:szCs w:val="20"/>
              </w:rPr>
            </w:pPr>
          </w:p>
          <w:p w14:paraId="40C28D7A" w14:textId="77777777" w:rsidR="007F0D22" w:rsidRDefault="007F0D22" w:rsidP="0070582E">
            <w:pPr>
              <w:pStyle w:val="TableParagraph"/>
              <w:jc w:val="center"/>
              <w:rPr>
                <w:rFonts w:ascii="Arial"/>
                <w:b/>
                <w:spacing w:val="-1"/>
                <w:szCs w:val="20"/>
              </w:rPr>
            </w:pPr>
          </w:p>
          <w:p w14:paraId="436D3860" w14:textId="77777777" w:rsidR="007F0D22" w:rsidRDefault="007F0D22" w:rsidP="0070582E">
            <w:pPr>
              <w:pStyle w:val="TableParagraph"/>
              <w:jc w:val="center"/>
              <w:rPr>
                <w:rFonts w:ascii="Arial"/>
                <w:b/>
                <w:spacing w:val="-1"/>
                <w:szCs w:val="20"/>
              </w:rPr>
            </w:pPr>
          </w:p>
          <w:p w14:paraId="5A3C1716" w14:textId="77777777" w:rsidR="007F0D22" w:rsidRDefault="007F0D22" w:rsidP="0070582E">
            <w:pPr>
              <w:pStyle w:val="TableParagraph"/>
              <w:jc w:val="center"/>
              <w:rPr>
                <w:rFonts w:ascii="Arial"/>
                <w:b/>
                <w:spacing w:val="-1"/>
                <w:szCs w:val="20"/>
              </w:rPr>
            </w:pPr>
          </w:p>
          <w:p w14:paraId="34E21ADA" w14:textId="77777777" w:rsidR="007F0D22" w:rsidRDefault="007F0D22" w:rsidP="0070582E">
            <w:pPr>
              <w:pStyle w:val="TableParagraph"/>
              <w:jc w:val="center"/>
              <w:rPr>
                <w:rFonts w:ascii="Arial"/>
                <w:b/>
                <w:spacing w:val="-1"/>
                <w:szCs w:val="20"/>
              </w:rPr>
            </w:pPr>
          </w:p>
          <w:p w14:paraId="15FC7B36" w14:textId="77777777" w:rsidR="007F0D22" w:rsidRDefault="007F0D22" w:rsidP="0070582E">
            <w:pPr>
              <w:pStyle w:val="TableParagraph"/>
              <w:jc w:val="center"/>
              <w:rPr>
                <w:rFonts w:ascii="Arial"/>
                <w:b/>
                <w:spacing w:val="-1"/>
                <w:szCs w:val="20"/>
              </w:rPr>
            </w:pPr>
          </w:p>
          <w:p w14:paraId="7736179A" w14:textId="77777777" w:rsidR="007F0D22" w:rsidRDefault="007F0D22" w:rsidP="0070582E">
            <w:pPr>
              <w:pStyle w:val="TableParagraph"/>
              <w:jc w:val="center"/>
              <w:rPr>
                <w:rFonts w:ascii="Arial"/>
                <w:b/>
                <w:spacing w:val="-1"/>
                <w:szCs w:val="20"/>
              </w:rPr>
            </w:pPr>
          </w:p>
          <w:p w14:paraId="03ACF5BA" w14:textId="77777777" w:rsidR="007F0D22" w:rsidRDefault="007F0D22" w:rsidP="0070582E">
            <w:pPr>
              <w:pStyle w:val="TableParagraph"/>
              <w:jc w:val="center"/>
              <w:rPr>
                <w:rFonts w:ascii="Arial"/>
                <w:b/>
                <w:spacing w:val="-1"/>
                <w:szCs w:val="20"/>
              </w:rPr>
            </w:pPr>
          </w:p>
          <w:p w14:paraId="5B00FC6A" w14:textId="77777777" w:rsidR="007F0D22" w:rsidRDefault="007F0D22" w:rsidP="0070582E">
            <w:pPr>
              <w:pStyle w:val="TableParagraph"/>
              <w:jc w:val="center"/>
              <w:rPr>
                <w:rFonts w:ascii="Arial"/>
                <w:b/>
                <w:spacing w:val="-1"/>
                <w:szCs w:val="20"/>
              </w:rPr>
            </w:pPr>
          </w:p>
          <w:p w14:paraId="69B49678" w14:textId="77777777" w:rsidR="007F0D22" w:rsidRDefault="007F0D22" w:rsidP="0070582E">
            <w:pPr>
              <w:pStyle w:val="TableParagraph"/>
              <w:jc w:val="center"/>
              <w:rPr>
                <w:rFonts w:ascii="Arial"/>
                <w:b/>
                <w:spacing w:val="-1"/>
                <w:szCs w:val="20"/>
              </w:rPr>
            </w:pPr>
          </w:p>
          <w:p w14:paraId="46878333" w14:textId="77777777" w:rsidR="007F0D22" w:rsidRDefault="007F0D22" w:rsidP="0070582E">
            <w:pPr>
              <w:pStyle w:val="TableParagraph"/>
              <w:jc w:val="center"/>
              <w:rPr>
                <w:rFonts w:ascii="Arial"/>
                <w:b/>
                <w:spacing w:val="-1"/>
                <w:szCs w:val="20"/>
              </w:rPr>
            </w:pPr>
          </w:p>
          <w:p w14:paraId="26A53A14" w14:textId="77777777" w:rsidR="007F0D22" w:rsidRDefault="007F0D22" w:rsidP="0070582E">
            <w:pPr>
              <w:pStyle w:val="TableParagraph"/>
              <w:jc w:val="center"/>
              <w:rPr>
                <w:rFonts w:ascii="Arial"/>
                <w:b/>
                <w:spacing w:val="-1"/>
                <w:szCs w:val="20"/>
              </w:rPr>
            </w:pPr>
          </w:p>
          <w:p w14:paraId="6219CD8D" w14:textId="77777777" w:rsidR="007F0D22" w:rsidRDefault="007F0D22" w:rsidP="0070582E">
            <w:pPr>
              <w:pStyle w:val="TableParagraph"/>
              <w:jc w:val="center"/>
              <w:rPr>
                <w:rFonts w:ascii="Arial"/>
                <w:b/>
                <w:spacing w:val="-1"/>
                <w:szCs w:val="20"/>
              </w:rPr>
            </w:pPr>
          </w:p>
          <w:p w14:paraId="083B905E" w14:textId="77777777" w:rsidR="007F0D22" w:rsidRDefault="007F0D22" w:rsidP="0070582E">
            <w:pPr>
              <w:pStyle w:val="TableParagraph"/>
              <w:jc w:val="center"/>
              <w:rPr>
                <w:rFonts w:ascii="Arial"/>
                <w:b/>
                <w:spacing w:val="-1"/>
                <w:szCs w:val="20"/>
              </w:rPr>
            </w:pPr>
          </w:p>
          <w:p w14:paraId="4C59F15A" w14:textId="77777777" w:rsidR="007F0D22" w:rsidRDefault="007F0D22" w:rsidP="0070582E">
            <w:pPr>
              <w:pStyle w:val="TableParagraph"/>
              <w:jc w:val="center"/>
              <w:rPr>
                <w:rFonts w:ascii="Arial"/>
                <w:b/>
                <w:spacing w:val="-1"/>
                <w:szCs w:val="20"/>
              </w:rPr>
            </w:pPr>
          </w:p>
          <w:p w14:paraId="03866184" w14:textId="77777777" w:rsidR="007F0D22" w:rsidRDefault="007F0D22" w:rsidP="0070582E">
            <w:pPr>
              <w:pStyle w:val="TableParagraph"/>
              <w:jc w:val="center"/>
              <w:rPr>
                <w:rFonts w:ascii="Arial"/>
                <w:b/>
                <w:spacing w:val="-1"/>
                <w:szCs w:val="20"/>
              </w:rPr>
            </w:pPr>
          </w:p>
          <w:p w14:paraId="22425A83" w14:textId="77777777" w:rsidR="007F0D22" w:rsidRDefault="007F0D22" w:rsidP="0070582E">
            <w:pPr>
              <w:pStyle w:val="TableParagraph"/>
              <w:jc w:val="center"/>
              <w:rPr>
                <w:rFonts w:ascii="Arial"/>
                <w:b/>
                <w:spacing w:val="-1"/>
                <w:szCs w:val="20"/>
              </w:rPr>
            </w:pPr>
          </w:p>
          <w:p w14:paraId="4F46B730" w14:textId="77777777" w:rsidR="007F0D22" w:rsidRDefault="007F0D22" w:rsidP="0070582E">
            <w:pPr>
              <w:pStyle w:val="TableParagraph"/>
              <w:jc w:val="center"/>
              <w:rPr>
                <w:rFonts w:ascii="Arial"/>
                <w:b/>
                <w:spacing w:val="-1"/>
                <w:szCs w:val="20"/>
              </w:rPr>
            </w:pPr>
          </w:p>
          <w:p w14:paraId="6620F4CB" w14:textId="77777777" w:rsidR="007F0D22" w:rsidRDefault="007F0D22" w:rsidP="0070582E">
            <w:pPr>
              <w:pStyle w:val="TableParagraph"/>
              <w:jc w:val="center"/>
              <w:rPr>
                <w:rFonts w:ascii="Arial"/>
                <w:b/>
                <w:spacing w:val="-1"/>
                <w:szCs w:val="20"/>
              </w:rPr>
            </w:pPr>
          </w:p>
          <w:p w14:paraId="785057D0" w14:textId="77777777" w:rsidR="007F0D22" w:rsidRDefault="007F0D22" w:rsidP="0070582E">
            <w:pPr>
              <w:pStyle w:val="TableParagraph"/>
              <w:jc w:val="center"/>
              <w:rPr>
                <w:rFonts w:ascii="Arial"/>
                <w:b/>
                <w:spacing w:val="-1"/>
                <w:szCs w:val="20"/>
              </w:rPr>
            </w:pPr>
          </w:p>
          <w:p w14:paraId="38856359" w14:textId="77777777" w:rsidR="007F0D22" w:rsidRDefault="007F0D22" w:rsidP="0070582E">
            <w:pPr>
              <w:pStyle w:val="TableParagraph"/>
              <w:jc w:val="center"/>
              <w:rPr>
                <w:rFonts w:ascii="Arial"/>
                <w:b/>
                <w:spacing w:val="-1"/>
                <w:szCs w:val="20"/>
              </w:rPr>
            </w:pPr>
          </w:p>
          <w:p w14:paraId="2F2BBF9E" w14:textId="3D45C438" w:rsidR="0070582E" w:rsidRPr="0070582E" w:rsidRDefault="0070582E" w:rsidP="0070582E">
            <w:pPr>
              <w:pStyle w:val="TableParagraph"/>
              <w:jc w:val="center"/>
              <w:rPr>
                <w:rFonts w:ascii="Arial"/>
                <w:b/>
                <w:spacing w:val="-1"/>
                <w:szCs w:val="20"/>
              </w:rPr>
            </w:pPr>
            <w:r w:rsidRPr="0070582E">
              <w:rPr>
                <w:rFonts w:ascii="Arial"/>
                <w:b/>
                <w:spacing w:val="-1"/>
                <w:szCs w:val="20"/>
              </w:rPr>
              <w:t>APPLICATION PROCEDURES</w:t>
            </w:r>
          </w:p>
          <w:p w14:paraId="4C5ABDB7" w14:textId="42E5DB2F" w:rsidR="002B0AE6" w:rsidRPr="002951A2" w:rsidRDefault="002B0AE6" w:rsidP="002B0AE6">
            <w:pPr>
              <w:pStyle w:val="TableParagraph"/>
              <w:rPr>
                <w:rFonts w:ascii="Arial"/>
                <w:bCs/>
                <w:spacing w:val="-1"/>
                <w:szCs w:val="20"/>
              </w:rPr>
            </w:pPr>
            <w:r w:rsidRPr="002951A2">
              <w:rPr>
                <w:rFonts w:ascii="Arial"/>
                <w:bCs/>
                <w:spacing w:val="-1"/>
                <w:szCs w:val="20"/>
              </w:rPr>
              <w:t>Packages must be received no later than close of business on vacancy announcement closing date. Applicants will prepare and email their application package in one (1) PDF titled as follows</w:t>
            </w:r>
          </w:p>
          <w:p w14:paraId="523A7D27" w14:textId="2D8E3076" w:rsidR="002B0AE6" w:rsidRPr="002951A2" w:rsidRDefault="002B0AE6" w:rsidP="002B0AE6">
            <w:pPr>
              <w:pStyle w:val="TableParagraph"/>
              <w:rPr>
                <w:rFonts w:ascii="Arial"/>
                <w:bCs/>
                <w:spacing w:val="-1"/>
                <w:szCs w:val="20"/>
              </w:rPr>
            </w:pPr>
            <w:r w:rsidRPr="002951A2">
              <w:rPr>
                <w:rFonts w:ascii="Arial"/>
                <w:bCs/>
                <w:spacing w:val="-1"/>
                <w:szCs w:val="20"/>
              </w:rPr>
              <w:t>FYXX XXX LAST FIRST (ex. FY25 121 SMITH JOHN). Interested members will submit the following:</w:t>
            </w:r>
          </w:p>
          <w:p w14:paraId="04AE7B12" w14:textId="77777777" w:rsidR="002B0AE6" w:rsidRPr="002951A2" w:rsidRDefault="002B0AE6" w:rsidP="002B0AE6">
            <w:pPr>
              <w:pStyle w:val="TableParagraph"/>
              <w:rPr>
                <w:rFonts w:ascii="Arial"/>
                <w:bCs/>
                <w:spacing w:val="-1"/>
                <w:szCs w:val="20"/>
              </w:rPr>
            </w:pPr>
          </w:p>
          <w:p w14:paraId="3206C6BE" w14:textId="77777777" w:rsidR="00047E5F" w:rsidRPr="002951A2" w:rsidRDefault="002B0AE6" w:rsidP="002B0AE6">
            <w:pPr>
              <w:pStyle w:val="TableParagraph"/>
              <w:rPr>
                <w:rFonts w:ascii="Arial"/>
                <w:bCs/>
                <w:spacing w:val="-1"/>
                <w:szCs w:val="20"/>
              </w:rPr>
            </w:pPr>
            <w:r w:rsidRPr="002951A2">
              <w:rPr>
                <w:rFonts w:ascii="Arial"/>
                <w:bCs/>
                <w:spacing w:val="-1"/>
                <w:szCs w:val="20"/>
              </w:rPr>
              <w:t xml:space="preserve">Last 3 EPR's, Resume (Military and/or Civilian), Official AF Biography, myFitness Report, vMPF RIP (record review </w:t>
            </w:r>
            <w:r w:rsidRPr="002951A2">
              <w:rPr>
                <w:rFonts w:ascii="Arial"/>
                <w:bCs/>
                <w:spacing w:val="-1"/>
                <w:szCs w:val="20"/>
              </w:rPr>
              <w:t>–</w:t>
            </w:r>
            <w:r w:rsidRPr="002951A2">
              <w:rPr>
                <w:rFonts w:ascii="Arial"/>
                <w:bCs/>
                <w:spacing w:val="-1"/>
                <w:szCs w:val="20"/>
              </w:rPr>
              <w:t xml:space="preserve"> ALL pages), NOTE: Reference Letters are NOT required. If provided, limit to no more than (3)</w:t>
            </w:r>
          </w:p>
          <w:p w14:paraId="184D2477" w14:textId="77777777" w:rsidR="002951A2" w:rsidRPr="002951A2" w:rsidRDefault="002951A2" w:rsidP="002B0AE6">
            <w:pPr>
              <w:pStyle w:val="TableParagraph"/>
              <w:rPr>
                <w:rFonts w:ascii="Arial"/>
                <w:bCs/>
                <w:spacing w:val="-1"/>
                <w:szCs w:val="20"/>
              </w:rPr>
            </w:pPr>
          </w:p>
          <w:p w14:paraId="212C5E82" w14:textId="7117D4BA" w:rsidR="002951A2" w:rsidRPr="00047E5F" w:rsidRDefault="002951A2" w:rsidP="002B0AE6">
            <w:pPr>
              <w:pStyle w:val="TableParagraph"/>
              <w:rPr>
                <w:rFonts w:ascii="Arial"/>
                <w:bCs/>
                <w:spacing w:val="-1"/>
                <w:szCs w:val="20"/>
              </w:rPr>
            </w:pPr>
            <w:r w:rsidRPr="002951A2">
              <w:rPr>
                <w:rFonts w:ascii="Arial"/>
                <w:bCs/>
                <w:spacing w:val="-1"/>
                <w:szCs w:val="20"/>
              </w:rPr>
              <w:t>E-Mail application packages to: CMSgt Amanda Shafer - amanda.shafer.1@us.af.mil</w:t>
            </w:r>
          </w:p>
        </w:tc>
      </w:tr>
      <w:tr w:rsidR="00047E5F" w14:paraId="169AB272" w14:textId="77777777" w:rsidTr="006A4FE4">
        <w:trPr>
          <w:trHeight w:hRule="exact" w:val="4273"/>
        </w:trPr>
        <w:tc>
          <w:tcPr>
            <w:tcW w:w="11250" w:type="dxa"/>
            <w:gridSpan w:val="2"/>
            <w:tcBorders>
              <w:top w:val="single" w:sz="19" w:space="0" w:color="000000"/>
              <w:left w:val="single" w:sz="18" w:space="0" w:color="000000"/>
              <w:bottom w:val="single" w:sz="19" w:space="0" w:color="000000"/>
              <w:right w:val="single" w:sz="18" w:space="0" w:color="000000"/>
            </w:tcBorders>
          </w:tcPr>
          <w:p w14:paraId="6948D221" w14:textId="77777777" w:rsidR="0070582E" w:rsidRPr="00623D87" w:rsidRDefault="0070582E" w:rsidP="0070582E">
            <w:pPr>
              <w:pStyle w:val="TableParagraph"/>
              <w:jc w:val="center"/>
              <w:rPr>
                <w:rFonts w:ascii="Arial"/>
                <w:b/>
                <w:spacing w:val="-1"/>
                <w:szCs w:val="20"/>
                <w:u w:val="single"/>
              </w:rPr>
            </w:pPr>
            <w:r w:rsidRPr="00623D87">
              <w:rPr>
                <w:rFonts w:ascii="Arial"/>
                <w:b/>
                <w:spacing w:val="-1"/>
                <w:szCs w:val="20"/>
                <w:u w:val="single"/>
              </w:rPr>
              <w:lastRenderedPageBreak/>
              <w:t>INTERVIEW</w:t>
            </w:r>
          </w:p>
          <w:p w14:paraId="76B1FF92" w14:textId="77777777" w:rsidR="00623D87" w:rsidRPr="0070582E" w:rsidRDefault="00623D87" w:rsidP="0070582E">
            <w:pPr>
              <w:pStyle w:val="TableParagraph"/>
              <w:jc w:val="center"/>
              <w:rPr>
                <w:rFonts w:ascii="Arial"/>
                <w:b/>
                <w:spacing w:val="-1"/>
                <w:szCs w:val="20"/>
              </w:rPr>
            </w:pPr>
          </w:p>
          <w:p w14:paraId="7AFA11D0" w14:textId="77777777" w:rsidR="002951A2" w:rsidRPr="006A4FE4" w:rsidRDefault="0070582E" w:rsidP="002951A2">
            <w:pPr>
              <w:pStyle w:val="TableParagraph"/>
              <w:numPr>
                <w:ilvl w:val="0"/>
                <w:numId w:val="20"/>
              </w:numPr>
              <w:rPr>
                <w:rFonts w:ascii="Times New Roman" w:hAnsi="Times New Roman" w:cs="Times New Roman"/>
                <w:bCs/>
                <w:spacing w:val="-1"/>
                <w:szCs w:val="20"/>
              </w:rPr>
            </w:pPr>
            <w:r w:rsidRPr="006A4FE4">
              <w:rPr>
                <w:rFonts w:ascii="Times New Roman" w:hAnsi="Times New Roman" w:cs="Times New Roman"/>
                <w:bCs/>
                <w:spacing w:val="-1"/>
                <w:szCs w:val="20"/>
              </w:rPr>
              <w:t xml:space="preserve">Applicants will be informed of date and time to appear. </w:t>
            </w:r>
          </w:p>
          <w:p w14:paraId="5B7AF1CA" w14:textId="177CAFD8" w:rsidR="00CE3B50" w:rsidRPr="002951A2" w:rsidRDefault="0070582E" w:rsidP="002951A2">
            <w:pPr>
              <w:pStyle w:val="TableParagraph"/>
              <w:numPr>
                <w:ilvl w:val="0"/>
                <w:numId w:val="20"/>
              </w:numPr>
              <w:rPr>
                <w:rFonts w:ascii="Arial"/>
                <w:bCs/>
                <w:spacing w:val="-1"/>
                <w:szCs w:val="20"/>
              </w:rPr>
            </w:pPr>
            <w:r w:rsidRPr="006A4FE4">
              <w:rPr>
                <w:rFonts w:ascii="Times New Roman" w:hAnsi="Times New Roman" w:cs="Times New Roman"/>
                <w:bCs/>
                <w:spacing w:val="-1"/>
                <w:szCs w:val="20"/>
              </w:rPr>
              <w:t xml:space="preserve">Selecting Official </w:t>
            </w:r>
            <w:r w:rsidR="002951A2" w:rsidRPr="006A4FE4">
              <w:rPr>
                <w:rFonts w:ascii="Times New Roman" w:hAnsi="Times New Roman" w:cs="Times New Roman"/>
                <w:bCs/>
                <w:spacing w:val="-1"/>
                <w:szCs w:val="20"/>
              </w:rPr>
              <w:t xml:space="preserve">– Lt Col </w:t>
            </w:r>
            <w:r w:rsidR="00C97E6C">
              <w:rPr>
                <w:rFonts w:ascii="Times New Roman" w:hAnsi="Times New Roman" w:cs="Times New Roman"/>
                <w:bCs/>
                <w:spacing w:val="-1"/>
                <w:szCs w:val="20"/>
              </w:rPr>
              <w:t>Edward Harington</w:t>
            </w:r>
          </w:p>
        </w:tc>
      </w:tr>
    </w:tbl>
    <w:p w14:paraId="1954A6CA" w14:textId="77777777" w:rsidR="00CC7D9C" w:rsidRPr="002D179E" w:rsidRDefault="00CC7D9C" w:rsidP="00000A22">
      <w:pPr>
        <w:spacing w:before="9"/>
        <w:rPr>
          <w:rFonts w:ascii="Arial" w:eastAsia="Times New Roman" w:hAnsi="Arial" w:cs="Arial"/>
          <w:sz w:val="4"/>
          <w:szCs w:val="4"/>
        </w:rPr>
      </w:pPr>
    </w:p>
    <w:sectPr w:rsidR="00CC7D9C" w:rsidRPr="002D179E">
      <w:pgSz w:w="12240" w:h="15840"/>
      <w:pgMar w:top="760" w:right="20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4F4A2" w14:textId="77777777" w:rsidR="00E45488" w:rsidRDefault="00E45488" w:rsidP="008233C7">
      <w:r>
        <w:separator/>
      </w:r>
    </w:p>
  </w:endnote>
  <w:endnote w:type="continuationSeparator" w:id="0">
    <w:p w14:paraId="3FFD2633" w14:textId="77777777" w:rsidR="00E45488" w:rsidRDefault="00E45488" w:rsidP="008233C7">
      <w:r>
        <w:continuationSeparator/>
      </w:r>
    </w:p>
  </w:endnote>
  <w:endnote w:type="continuationNotice" w:id="1">
    <w:p w14:paraId="7AAC9153" w14:textId="77777777" w:rsidR="00E45488" w:rsidRDefault="00E45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33FD" w14:textId="77777777" w:rsidR="00E45488" w:rsidRDefault="00E45488" w:rsidP="008233C7">
      <w:r>
        <w:separator/>
      </w:r>
    </w:p>
  </w:footnote>
  <w:footnote w:type="continuationSeparator" w:id="0">
    <w:p w14:paraId="1B414171" w14:textId="77777777" w:rsidR="00E45488" w:rsidRDefault="00E45488" w:rsidP="008233C7">
      <w:r>
        <w:continuationSeparator/>
      </w:r>
    </w:p>
  </w:footnote>
  <w:footnote w:type="continuationNotice" w:id="1">
    <w:p w14:paraId="70E444C7" w14:textId="77777777" w:rsidR="00E45488" w:rsidRDefault="00E454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B25"/>
    <w:multiLevelType w:val="hybridMultilevel"/>
    <w:tmpl w:val="03841F32"/>
    <w:lvl w:ilvl="0" w:tplc="CC9285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D6AB3"/>
    <w:multiLevelType w:val="hybridMultilevel"/>
    <w:tmpl w:val="24C63850"/>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 w15:restartNumberingAfterBreak="0">
    <w:nsid w:val="0790557D"/>
    <w:multiLevelType w:val="hybridMultilevel"/>
    <w:tmpl w:val="4F340E2A"/>
    <w:lvl w:ilvl="0" w:tplc="04090001">
      <w:start w:val="1"/>
      <w:numFmt w:val="bullet"/>
      <w:lvlText w:val=""/>
      <w:lvlJc w:val="left"/>
      <w:pPr>
        <w:ind w:left="445" w:hanging="360"/>
      </w:pPr>
      <w:rPr>
        <w:rFonts w:ascii="Symbol" w:hAnsi="Symbol"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3" w15:restartNumberingAfterBreak="0">
    <w:nsid w:val="14F5326B"/>
    <w:multiLevelType w:val="hybridMultilevel"/>
    <w:tmpl w:val="8FC2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60706"/>
    <w:multiLevelType w:val="hybridMultilevel"/>
    <w:tmpl w:val="227EB0E0"/>
    <w:lvl w:ilvl="0" w:tplc="DA8271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2716B"/>
    <w:multiLevelType w:val="hybridMultilevel"/>
    <w:tmpl w:val="C088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F78D7"/>
    <w:multiLevelType w:val="hybridMultilevel"/>
    <w:tmpl w:val="4DC8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55057"/>
    <w:multiLevelType w:val="hybridMultilevel"/>
    <w:tmpl w:val="DA1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97F5A"/>
    <w:multiLevelType w:val="hybridMultilevel"/>
    <w:tmpl w:val="93CC67DE"/>
    <w:lvl w:ilvl="0" w:tplc="A754C3E8">
      <w:start w:val="1"/>
      <w:numFmt w:val="bullet"/>
      <w:lvlText w:val="•"/>
      <w:lvlJc w:val="left"/>
      <w:pPr>
        <w:ind w:left="843" w:hanging="360"/>
      </w:pPr>
      <w:rPr>
        <w:rFont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9" w15:restartNumberingAfterBreak="0">
    <w:nsid w:val="437F21A1"/>
    <w:multiLevelType w:val="hybridMultilevel"/>
    <w:tmpl w:val="C2C4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A1450"/>
    <w:multiLevelType w:val="hybridMultilevel"/>
    <w:tmpl w:val="0E7E3288"/>
    <w:lvl w:ilvl="0" w:tplc="003EC464">
      <w:start w:val="1"/>
      <w:numFmt w:val="bullet"/>
      <w:lvlText w:val=""/>
      <w:lvlJc w:val="left"/>
      <w:pPr>
        <w:ind w:left="445" w:hanging="360"/>
      </w:pPr>
      <w:rPr>
        <w:rFonts w:ascii="Wingdings" w:eastAsia="Wingdings" w:hAnsi="Wingdings" w:hint="default"/>
        <w:sz w:val="24"/>
        <w:szCs w:val="24"/>
      </w:rPr>
    </w:lvl>
    <w:lvl w:ilvl="1" w:tplc="A754C3E8">
      <w:start w:val="1"/>
      <w:numFmt w:val="bullet"/>
      <w:lvlText w:val="•"/>
      <w:lvlJc w:val="left"/>
      <w:pPr>
        <w:ind w:left="1530" w:hanging="360"/>
      </w:pPr>
      <w:rPr>
        <w:rFonts w:hint="default"/>
      </w:rPr>
    </w:lvl>
    <w:lvl w:ilvl="2" w:tplc="39B2D4E6">
      <w:start w:val="1"/>
      <w:numFmt w:val="bullet"/>
      <w:lvlText w:val="•"/>
      <w:lvlJc w:val="left"/>
      <w:pPr>
        <w:ind w:left="2616" w:hanging="360"/>
      </w:pPr>
      <w:rPr>
        <w:rFonts w:hint="default"/>
      </w:rPr>
    </w:lvl>
    <w:lvl w:ilvl="3" w:tplc="37C4A7E6">
      <w:start w:val="1"/>
      <w:numFmt w:val="bullet"/>
      <w:lvlText w:val="•"/>
      <w:lvlJc w:val="left"/>
      <w:pPr>
        <w:ind w:left="3701" w:hanging="360"/>
      </w:pPr>
      <w:rPr>
        <w:rFonts w:hint="default"/>
      </w:rPr>
    </w:lvl>
    <w:lvl w:ilvl="4" w:tplc="C3C85802">
      <w:start w:val="1"/>
      <w:numFmt w:val="bullet"/>
      <w:lvlText w:val="•"/>
      <w:lvlJc w:val="left"/>
      <w:pPr>
        <w:ind w:left="4787" w:hanging="360"/>
      </w:pPr>
      <w:rPr>
        <w:rFonts w:hint="default"/>
      </w:rPr>
    </w:lvl>
    <w:lvl w:ilvl="5" w:tplc="9AA6416E">
      <w:start w:val="1"/>
      <w:numFmt w:val="bullet"/>
      <w:lvlText w:val="•"/>
      <w:lvlJc w:val="left"/>
      <w:pPr>
        <w:ind w:left="5872" w:hanging="360"/>
      </w:pPr>
      <w:rPr>
        <w:rFonts w:hint="default"/>
      </w:rPr>
    </w:lvl>
    <w:lvl w:ilvl="6" w:tplc="7D2CA34E">
      <w:start w:val="1"/>
      <w:numFmt w:val="bullet"/>
      <w:lvlText w:val="•"/>
      <w:lvlJc w:val="left"/>
      <w:pPr>
        <w:ind w:left="6957" w:hanging="360"/>
      </w:pPr>
      <w:rPr>
        <w:rFonts w:hint="default"/>
      </w:rPr>
    </w:lvl>
    <w:lvl w:ilvl="7" w:tplc="854EA3EC">
      <w:start w:val="1"/>
      <w:numFmt w:val="bullet"/>
      <w:lvlText w:val="•"/>
      <w:lvlJc w:val="left"/>
      <w:pPr>
        <w:ind w:left="8043" w:hanging="360"/>
      </w:pPr>
      <w:rPr>
        <w:rFonts w:hint="default"/>
      </w:rPr>
    </w:lvl>
    <w:lvl w:ilvl="8" w:tplc="09567DDC">
      <w:start w:val="1"/>
      <w:numFmt w:val="bullet"/>
      <w:lvlText w:val="•"/>
      <w:lvlJc w:val="left"/>
      <w:pPr>
        <w:ind w:left="9128" w:hanging="360"/>
      </w:pPr>
      <w:rPr>
        <w:rFonts w:hint="default"/>
      </w:rPr>
    </w:lvl>
  </w:abstractNum>
  <w:abstractNum w:abstractNumId="11" w15:restartNumberingAfterBreak="0">
    <w:nsid w:val="4F554660"/>
    <w:multiLevelType w:val="hybridMultilevel"/>
    <w:tmpl w:val="1AF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416EF"/>
    <w:multiLevelType w:val="hybridMultilevel"/>
    <w:tmpl w:val="D180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4788A"/>
    <w:multiLevelType w:val="hybridMultilevel"/>
    <w:tmpl w:val="E83E3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38F5F6E"/>
    <w:multiLevelType w:val="hybridMultilevel"/>
    <w:tmpl w:val="A27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43EC4"/>
    <w:multiLevelType w:val="hybridMultilevel"/>
    <w:tmpl w:val="2E40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33828"/>
    <w:multiLevelType w:val="hybridMultilevel"/>
    <w:tmpl w:val="0BC6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72A26"/>
    <w:multiLevelType w:val="hybridMultilevel"/>
    <w:tmpl w:val="3AF426FE"/>
    <w:lvl w:ilvl="0" w:tplc="2D78AF74">
      <w:start w:val="1"/>
      <w:numFmt w:val="bullet"/>
      <w:lvlText w:val=""/>
      <w:lvlJc w:val="left"/>
      <w:pPr>
        <w:ind w:left="445" w:hanging="360"/>
      </w:pPr>
      <w:rPr>
        <w:rFonts w:ascii="Wingdings" w:eastAsia="Wingdings" w:hAnsi="Wingdings" w:hint="default"/>
        <w:sz w:val="24"/>
        <w:szCs w:val="24"/>
      </w:rPr>
    </w:lvl>
    <w:lvl w:ilvl="1" w:tplc="9F62F0FA">
      <w:start w:val="1"/>
      <w:numFmt w:val="bullet"/>
      <w:lvlText w:val="•"/>
      <w:lvlJc w:val="left"/>
      <w:pPr>
        <w:ind w:left="1530" w:hanging="360"/>
      </w:pPr>
      <w:rPr>
        <w:rFonts w:hint="default"/>
      </w:rPr>
    </w:lvl>
    <w:lvl w:ilvl="2" w:tplc="6088C1E2">
      <w:start w:val="1"/>
      <w:numFmt w:val="bullet"/>
      <w:lvlText w:val="•"/>
      <w:lvlJc w:val="left"/>
      <w:pPr>
        <w:ind w:left="2616" w:hanging="360"/>
      </w:pPr>
      <w:rPr>
        <w:rFonts w:hint="default"/>
      </w:rPr>
    </w:lvl>
    <w:lvl w:ilvl="3" w:tplc="79F29574">
      <w:start w:val="1"/>
      <w:numFmt w:val="bullet"/>
      <w:lvlText w:val="•"/>
      <w:lvlJc w:val="left"/>
      <w:pPr>
        <w:ind w:left="3701" w:hanging="360"/>
      </w:pPr>
      <w:rPr>
        <w:rFonts w:hint="default"/>
      </w:rPr>
    </w:lvl>
    <w:lvl w:ilvl="4" w:tplc="E9A03EE6">
      <w:start w:val="1"/>
      <w:numFmt w:val="bullet"/>
      <w:lvlText w:val="•"/>
      <w:lvlJc w:val="left"/>
      <w:pPr>
        <w:ind w:left="4787" w:hanging="360"/>
      </w:pPr>
      <w:rPr>
        <w:rFonts w:hint="default"/>
      </w:rPr>
    </w:lvl>
    <w:lvl w:ilvl="5" w:tplc="5BAE7702">
      <w:start w:val="1"/>
      <w:numFmt w:val="bullet"/>
      <w:lvlText w:val="•"/>
      <w:lvlJc w:val="left"/>
      <w:pPr>
        <w:ind w:left="5872" w:hanging="360"/>
      </w:pPr>
      <w:rPr>
        <w:rFonts w:hint="default"/>
      </w:rPr>
    </w:lvl>
    <w:lvl w:ilvl="6" w:tplc="EF8ED1D6">
      <w:start w:val="1"/>
      <w:numFmt w:val="bullet"/>
      <w:lvlText w:val="•"/>
      <w:lvlJc w:val="left"/>
      <w:pPr>
        <w:ind w:left="6957" w:hanging="360"/>
      </w:pPr>
      <w:rPr>
        <w:rFonts w:hint="default"/>
      </w:rPr>
    </w:lvl>
    <w:lvl w:ilvl="7" w:tplc="A7B67208">
      <w:start w:val="1"/>
      <w:numFmt w:val="bullet"/>
      <w:lvlText w:val="•"/>
      <w:lvlJc w:val="left"/>
      <w:pPr>
        <w:ind w:left="8043" w:hanging="360"/>
      </w:pPr>
      <w:rPr>
        <w:rFonts w:hint="default"/>
      </w:rPr>
    </w:lvl>
    <w:lvl w:ilvl="8" w:tplc="28FCB53E">
      <w:start w:val="1"/>
      <w:numFmt w:val="bullet"/>
      <w:lvlText w:val="•"/>
      <w:lvlJc w:val="left"/>
      <w:pPr>
        <w:ind w:left="9128" w:hanging="360"/>
      </w:pPr>
      <w:rPr>
        <w:rFonts w:hint="default"/>
      </w:rPr>
    </w:lvl>
  </w:abstractNum>
  <w:abstractNum w:abstractNumId="18" w15:restartNumberingAfterBreak="0">
    <w:nsid w:val="6B167F54"/>
    <w:multiLevelType w:val="hybridMultilevel"/>
    <w:tmpl w:val="E8A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83263"/>
    <w:multiLevelType w:val="hybridMultilevel"/>
    <w:tmpl w:val="9E3C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391585">
    <w:abstractNumId w:val="17"/>
  </w:num>
  <w:num w:numId="2" w16cid:durableId="2112358562">
    <w:abstractNumId w:val="10"/>
  </w:num>
  <w:num w:numId="3" w16cid:durableId="521280371">
    <w:abstractNumId w:val="8"/>
  </w:num>
  <w:num w:numId="4" w16cid:durableId="21326189">
    <w:abstractNumId w:val="19"/>
  </w:num>
  <w:num w:numId="5" w16cid:durableId="875771660">
    <w:abstractNumId w:val="9"/>
  </w:num>
  <w:num w:numId="6" w16cid:durableId="2057653985">
    <w:abstractNumId w:val="14"/>
  </w:num>
  <w:num w:numId="7" w16cid:durableId="1849444085">
    <w:abstractNumId w:val="3"/>
  </w:num>
  <w:num w:numId="8" w16cid:durableId="2130005806">
    <w:abstractNumId w:val="12"/>
  </w:num>
  <w:num w:numId="9" w16cid:durableId="337924064">
    <w:abstractNumId w:val="18"/>
  </w:num>
  <w:num w:numId="10" w16cid:durableId="1212302060">
    <w:abstractNumId w:val="16"/>
  </w:num>
  <w:num w:numId="11" w16cid:durableId="2066175977">
    <w:abstractNumId w:val="11"/>
  </w:num>
  <w:num w:numId="12" w16cid:durableId="1098481577">
    <w:abstractNumId w:val="2"/>
  </w:num>
  <w:num w:numId="13" w16cid:durableId="1570994094">
    <w:abstractNumId w:val="15"/>
  </w:num>
  <w:num w:numId="14" w16cid:durableId="1860653556">
    <w:abstractNumId w:val="4"/>
  </w:num>
  <w:num w:numId="15" w16cid:durableId="31461504">
    <w:abstractNumId w:val="7"/>
  </w:num>
  <w:num w:numId="16" w16cid:durableId="1012681909">
    <w:abstractNumId w:val="1"/>
  </w:num>
  <w:num w:numId="17" w16cid:durableId="2098357285">
    <w:abstractNumId w:val="6"/>
  </w:num>
  <w:num w:numId="18" w16cid:durableId="1035620549">
    <w:abstractNumId w:val="13"/>
  </w:num>
  <w:num w:numId="19" w16cid:durableId="1057389414">
    <w:abstractNumId w:val="5"/>
  </w:num>
  <w:num w:numId="20" w16cid:durableId="159030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9C"/>
    <w:rsid w:val="00000A22"/>
    <w:rsid w:val="00001F06"/>
    <w:rsid w:val="000203AB"/>
    <w:rsid w:val="00021798"/>
    <w:rsid w:val="000219B8"/>
    <w:rsid w:val="00027ECE"/>
    <w:rsid w:val="00034943"/>
    <w:rsid w:val="00041F04"/>
    <w:rsid w:val="00046C3C"/>
    <w:rsid w:val="00047E5F"/>
    <w:rsid w:val="000560C0"/>
    <w:rsid w:val="000601E6"/>
    <w:rsid w:val="000725A1"/>
    <w:rsid w:val="00082681"/>
    <w:rsid w:val="001534AE"/>
    <w:rsid w:val="001710A8"/>
    <w:rsid w:val="001850A5"/>
    <w:rsid w:val="00194A6A"/>
    <w:rsid w:val="001A40EF"/>
    <w:rsid w:val="001A773D"/>
    <w:rsid w:val="00207222"/>
    <w:rsid w:val="002238C1"/>
    <w:rsid w:val="00237170"/>
    <w:rsid w:val="00240E2F"/>
    <w:rsid w:val="00245EA8"/>
    <w:rsid w:val="00273AB2"/>
    <w:rsid w:val="002907C9"/>
    <w:rsid w:val="00293AF7"/>
    <w:rsid w:val="002951A2"/>
    <w:rsid w:val="00295933"/>
    <w:rsid w:val="002A250F"/>
    <w:rsid w:val="002A768E"/>
    <w:rsid w:val="002B0AE6"/>
    <w:rsid w:val="002B5E64"/>
    <w:rsid w:val="002B67F8"/>
    <w:rsid w:val="002D179E"/>
    <w:rsid w:val="002E683E"/>
    <w:rsid w:val="002E68AF"/>
    <w:rsid w:val="002F2C38"/>
    <w:rsid w:val="002F49CD"/>
    <w:rsid w:val="00310AA8"/>
    <w:rsid w:val="003135EB"/>
    <w:rsid w:val="0031449A"/>
    <w:rsid w:val="00360712"/>
    <w:rsid w:val="00361525"/>
    <w:rsid w:val="00373A12"/>
    <w:rsid w:val="003751D4"/>
    <w:rsid w:val="00397B05"/>
    <w:rsid w:val="003B0D31"/>
    <w:rsid w:val="003D1300"/>
    <w:rsid w:val="00404488"/>
    <w:rsid w:val="00421E12"/>
    <w:rsid w:val="00424EBE"/>
    <w:rsid w:val="00474B6B"/>
    <w:rsid w:val="004B578B"/>
    <w:rsid w:val="004D3D11"/>
    <w:rsid w:val="004D655B"/>
    <w:rsid w:val="005020A3"/>
    <w:rsid w:val="00576A9C"/>
    <w:rsid w:val="005B3613"/>
    <w:rsid w:val="005E41EA"/>
    <w:rsid w:val="00613D71"/>
    <w:rsid w:val="00622401"/>
    <w:rsid w:val="00623D87"/>
    <w:rsid w:val="00634818"/>
    <w:rsid w:val="00634D9B"/>
    <w:rsid w:val="00655235"/>
    <w:rsid w:val="00671DB6"/>
    <w:rsid w:val="00681468"/>
    <w:rsid w:val="00685AC9"/>
    <w:rsid w:val="006A387A"/>
    <w:rsid w:val="006A4FE4"/>
    <w:rsid w:val="006B3AB2"/>
    <w:rsid w:val="006D3E7D"/>
    <w:rsid w:val="00704B48"/>
    <w:rsid w:val="0070582E"/>
    <w:rsid w:val="00705ED2"/>
    <w:rsid w:val="0071398D"/>
    <w:rsid w:val="00722DC2"/>
    <w:rsid w:val="00765F35"/>
    <w:rsid w:val="00777F91"/>
    <w:rsid w:val="00793615"/>
    <w:rsid w:val="0079681C"/>
    <w:rsid w:val="007D55A4"/>
    <w:rsid w:val="007D693A"/>
    <w:rsid w:val="007F0D22"/>
    <w:rsid w:val="008233C7"/>
    <w:rsid w:val="008332F9"/>
    <w:rsid w:val="008A1E70"/>
    <w:rsid w:val="008A6EE4"/>
    <w:rsid w:val="008B51A1"/>
    <w:rsid w:val="008E4443"/>
    <w:rsid w:val="0091685B"/>
    <w:rsid w:val="00920E22"/>
    <w:rsid w:val="00995C27"/>
    <w:rsid w:val="009A4952"/>
    <w:rsid w:val="009A5303"/>
    <w:rsid w:val="009B15C3"/>
    <w:rsid w:val="009E34A6"/>
    <w:rsid w:val="00A03140"/>
    <w:rsid w:val="00A438C1"/>
    <w:rsid w:val="00A475E3"/>
    <w:rsid w:val="00A559A4"/>
    <w:rsid w:val="00A8378A"/>
    <w:rsid w:val="00AB6382"/>
    <w:rsid w:val="00AE4B2F"/>
    <w:rsid w:val="00B04C81"/>
    <w:rsid w:val="00B1500F"/>
    <w:rsid w:val="00B90618"/>
    <w:rsid w:val="00BA5931"/>
    <w:rsid w:val="00BC5CB4"/>
    <w:rsid w:val="00BD4D49"/>
    <w:rsid w:val="00BE4D02"/>
    <w:rsid w:val="00C07C70"/>
    <w:rsid w:val="00C21576"/>
    <w:rsid w:val="00C26776"/>
    <w:rsid w:val="00C458E7"/>
    <w:rsid w:val="00C50437"/>
    <w:rsid w:val="00C97E6C"/>
    <w:rsid w:val="00CB46F8"/>
    <w:rsid w:val="00CC7D9C"/>
    <w:rsid w:val="00CD7AF3"/>
    <w:rsid w:val="00CE3B50"/>
    <w:rsid w:val="00D257E3"/>
    <w:rsid w:val="00D27F52"/>
    <w:rsid w:val="00D7111A"/>
    <w:rsid w:val="00D71D8E"/>
    <w:rsid w:val="00D75D6A"/>
    <w:rsid w:val="00D77C80"/>
    <w:rsid w:val="00DD37F5"/>
    <w:rsid w:val="00DD4EAE"/>
    <w:rsid w:val="00DE01CB"/>
    <w:rsid w:val="00E00152"/>
    <w:rsid w:val="00E0154E"/>
    <w:rsid w:val="00E10A27"/>
    <w:rsid w:val="00E25B27"/>
    <w:rsid w:val="00E45488"/>
    <w:rsid w:val="00E46641"/>
    <w:rsid w:val="00E5074C"/>
    <w:rsid w:val="00E579B0"/>
    <w:rsid w:val="00E74B7A"/>
    <w:rsid w:val="00EC7B36"/>
    <w:rsid w:val="00EE5BBD"/>
    <w:rsid w:val="00F02BAF"/>
    <w:rsid w:val="00F4049C"/>
    <w:rsid w:val="00F45481"/>
    <w:rsid w:val="00F475AC"/>
    <w:rsid w:val="00F60C6E"/>
    <w:rsid w:val="00F83915"/>
    <w:rsid w:val="00F868B8"/>
    <w:rsid w:val="00F91AB4"/>
    <w:rsid w:val="00F9350D"/>
    <w:rsid w:val="00F948BD"/>
    <w:rsid w:val="00FE19BE"/>
    <w:rsid w:val="00FE2E7F"/>
    <w:rsid w:val="00FF6450"/>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5BBB"/>
  <w15:docId w15:val="{FEB699BE-481A-4726-BBF2-BC676E00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5"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AE4B2F"/>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0725A1"/>
    <w:rPr>
      <w:color w:val="0000FF" w:themeColor="hyperlink"/>
      <w:u w:val="single"/>
    </w:rPr>
  </w:style>
  <w:style w:type="paragraph" w:styleId="Header">
    <w:name w:val="header"/>
    <w:basedOn w:val="Normal"/>
    <w:link w:val="HeaderChar"/>
    <w:uiPriority w:val="99"/>
    <w:unhideWhenUsed/>
    <w:rsid w:val="008233C7"/>
    <w:pPr>
      <w:tabs>
        <w:tab w:val="center" w:pos="4680"/>
        <w:tab w:val="right" w:pos="9360"/>
      </w:tabs>
    </w:pPr>
  </w:style>
  <w:style w:type="character" w:customStyle="1" w:styleId="HeaderChar">
    <w:name w:val="Header Char"/>
    <w:basedOn w:val="DefaultParagraphFont"/>
    <w:link w:val="Header"/>
    <w:uiPriority w:val="99"/>
    <w:rsid w:val="008233C7"/>
  </w:style>
  <w:style w:type="paragraph" w:styleId="Footer">
    <w:name w:val="footer"/>
    <w:basedOn w:val="Normal"/>
    <w:link w:val="FooterChar"/>
    <w:uiPriority w:val="99"/>
    <w:unhideWhenUsed/>
    <w:rsid w:val="008233C7"/>
    <w:pPr>
      <w:tabs>
        <w:tab w:val="center" w:pos="4680"/>
        <w:tab w:val="right" w:pos="9360"/>
      </w:tabs>
    </w:pPr>
  </w:style>
  <w:style w:type="character" w:customStyle="1" w:styleId="FooterChar">
    <w:name w:val="Footer Char"/>
    <w:basedOn w:val="DefaultParagraphFont"/>
    <w:link w:val="Footer"/>
    <w:uiPriority w:val="99"/>
    <w:rsid w:val="008233C7"/>
  </w:style>
  <w:style w:type="paragraph" w:styleId="BalloonText">
    <w:name w:val="Balloon Text"/>
    <w:basedOn w:val="Normal"/>
    <w:link w:val="BalloonTextChar"/>
    <w:uiPriority w:val="99"/>
    <w:semiHidden/>
    <w:unhideWhenUsed/>
    <w:rsid w:val="00EE5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BBD"/>
    <w:rPr>
      <w:rFonts w:ascii="Segoe UI" w:hAnsi="Segoe UI" w:cs="Segoe UI"/>
      <w:sz w:val="18"/>
      <w:szCs w:val="18"/>
    </w:rPr>
  </w:style>
  <w:style w:type="character" w:styleId="UnresolvedMention">
    <w:name w:val="Unresolved Mention"/>
    <w:basedOn w:val="DefaultParagraphFont"/>
    <w:uiPriority w:val="99"/>
    <w:semiHidden/>
    <w:unhideWhenUsed/>
    <w:rsid w:val="00A475E3"/>
    <w:rPr>
      <w:color w:val="605E5C"/>
      <w:shd w:val="clear" w:color="auto" w:fill="E1DFDD"/>
    </w:rPr>
  </w:style>
  <w:style w:type="paragraph" w:styleId="NoSpacing">
    <w:name w:val="No Spacing"/>
    <w:uiPriority w:val="1"/>
    <w:qFormat/>
    <w:rsid w:val="00F9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ugiel.soto.2@us.af.m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stasia.guard.1@us.af.m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0AAE3D7C248447BA3237E49D8BBE2A" ma:contentTypeVersion="4" ma:contentTypeDescription="Create a new document." ma:contentTypeScope="" ma:versionID="1a721f637494964e7d7b3f8067517935">
  <xsd:schema xmlns:xsd="http://www.w3.org/2001/XMLSchema" xmlns:xs="http://www.w3.org/2001/XMLSchema" xmlns:p="http://schemas.microsoft.com/office/2006/metadata/properties" xmlns:ns2="23f286e3-faa3-46b2-8799-d6c3ba4f482c" targetNamespace="http://schemas.microsoft.com/office/2006/metadata/properties" ma:root="true" ma:fieldsID="f1d382b0c2070dd15f0d3e46750d1522" ns2:_="">
    <xsd:import namespace="23f286e3-faa3-46b2-8799-d6c3ba4f48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286e3-faa3-46b2-8799-d6c3ba4f4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62F64-AA23-4692-B5BA-978CEE6999D5}">
  <ds:schemaRefs>
    <ds:schemaRef ds:uri="http://schemas.microsoft.com/sharepoint/v3/contenttype/forms"/>
  </ds:schemaRefs>
</ds:datastoreItem>
</file>

<file path=customXml/itemProps2.xml><?xml version="1.0" encoding="utf-8"?>
<ds:datastoreItem xmlns:ds="http://schemas.openxmlformats.org/officeDocument/2006/customXml" ds:itemID="{ED9507B4-E5A3-460C-80FB-1DBEA81949BC}">
  <ds:schemaRefs>
    <ds:schemaRef ds:uri="http://schemas.openxmlformats.org/officeDocument/2006/bibliography"/>
  </ds:schemaRefs>
</ds:datastoreItem>
</file>

<file path=customXml/itemProps3.xml><?xml version="1.0" encoding="utf-8"?>
<ds:datastoreItem xmlns:ds="http://schemas.openxmlformats.org/officeDocument/2006/customXml" ds:itemID="{EBD6BAD9-152B-46D2-BFBD-ADD41B3327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9A49FB-0E9E-4A55-B6C0-6A15BEA80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286e3-faa3-46b2-8799-d6c3ba4f4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U.S. Air Force</Company>
  <LinksUpToDate>false</LinksUpToDate>
  <CharactersWithSpaces>17717</CharactersWithSpaces>
  <SharedDoc>false</SharedDoc>
  <HLinks>
    <vt:vector size="6" baseType="variant">
      <vt:variant>
        <vt:i4>3211277</vt:i4>
      </vt:variant>
      <vt:variant>
        <vt:i4>0</vt:i4>
      </vt:variant>
      <vt:variant>
        <vt:i4>0</vt:i4>
      </vt:variant>
      <vt:variant>
        <vt:i4>5</vt:i4>
      </vt:variant>
      <vt:variant>
        <vt:lpwstr>mailto:grant.drumgold.1@us.af.mil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subject/>
  <dc:creator>109AW</dc:creator>
  <cp:keywords/>
  <dc:description/>
  <cp:lastModifiedBy>DRUMGOLD, GRANT W MSgt USAF ANG 105 AW/DPMR/Recruiting</cp:lastModifiedBy>
  <cp:revision>4</cp:revision>
  <cp:lastPrinted>2020-01-16T21:54:00Z</cp:lastPrinted>
  <dcterms:created xsi:type="dcterms:W3CDTF">2025-06-16T19:56:00Z</dcterms:created>
  <dcterms:modified xsi:type="dcterms:W3CDTF">2025-06-17T12:58:00Z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LastSaved">
    <vt:filetime>2016-09-27T00:00:00Z</vt:filetime>
  </property>
  <property fmtid="{D5CDD505-2E9C-101B-9397-08002B2CF9AE}" pid="4" name="GrammarlyDocumentId">
    <vt:lpwstr>370b8968097a980829676baab919f8593f698a9e6683ebd31aba53c79a253ebc</vt:lpwstr>
  </property>
  <property fmtid="{D5CDD505-2E9C-101B-9397-08002B2CF9AE}" pid="5" name="ContentTypeId">
    <vt:lpwstr>0x010100E30AAE3D7C248447BA3237E49D8BBE2A</vt:lpwstr>
  </property>
</Properties>
</file>