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C419" w14:textId="77777777" w:rsidR="00F67E3B" w:rsidRPr="007D4769" w:rsidRDefault="00F67E3B" w:rsidP="00F67E3B">
      <w:pPr>
        <w:rPr>
          <w:rFonts w:ascii="Arial" w:hAnsi="Arial" w:cs="Arial"/>
        </w:rPr>
      </w:pPr>
    </w:p>
    <w:tbl>
      <w:tblPr>
        <w:tblW w:w="112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405"/>
        <w:gridCol w:w="1345"/>
        <w:gridCol w:w="807"/>
        <w:gridCol w:w="2221"/>
      </w:tblGrid>
      <w:tr w:rsidR="00F67E3B" w:rsidRPr="007D4769" w14:paraId="7694C41D" w14:textId="77777777" w:rsidTr="003B268F">
        <w:trPr>
          <w:cantSplit/>
          <w:trHeight w:val="800"/>
        </w:trPr>
        <w:tc>
          <w:tcPr>
            <w:tcW w:w="112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4C41B" w14:textId="1C520893" w:rsidR="00F67E3B" w:rsidRPr="007D4769" w:rsidRDefault="0029493A">
            <w:pPr>
              <w:jc w:val="center"/>
              <w:rPr>
                <w:rFonts w:ascii="Arial" w:hAnsi="Arial" w:cs="Arial"/>
                <w:sz w:val="32"/>
              </w:rPr>
            </w:pPr>
            <w:r w:rsidRPr="0029493A">
              <w:rPr>
                <w:rFonts w:ascii="Arial" w:hAnsi="Arial" w:cs="Arial"/>
                <w:sz w:val="36"/>
              </w:rPr>
              <w:t xml:space="preserve">TRADITIONAL OFFICER </w:t>
            </w:r>
            <w:r w:rsidR="001154A1">
              <w:rPr>
                <w:rFonts w:ascii="Arial" w:hAnsi="Arial" w:cs="Arial"/>
                <w:sz w:val="36"/>
              </w:rPr>
              <w:t>VACANCY ANNOUNCEMENT</w:t>
            </w:r>
          </w:p>
          <w:p w14:paraId="7694C41C" w14:textId="711925EF" w:rsidR="00F67E3B" w:rsidRPr="007D4769" w:rsidRDefault="002D122C" w:rsidP="00642F37">
            <w:pPr>
              <w:jc w:val="center"/>
              <w:rPr>
                <w:rFonts w:ascii="Arial" w:hAnsi="Arial" w:cs="Arial"/>
              </w:rPr>
            </w:pPr>
            <w:r w:rsidRPr="002D122C">
              <w:rPr>
                <w:rFonts w:ascii="Arial" w:hAnsi="Arial" w:cs="Arial"/>
              </w:rPr>
              <w:t>FOR APPOINTMENT TO THE</w:t>
            </w:r>
            <w:r w:rsidR="00642F37">
              <w:rPr>
                <w:rFonts w:ascii="Arial" w:hAnsi="Arial" w:cs="Arial"/>
              </w:rPr>
              <w:t xml:space="preserve"> NEW YORK</w:t>
            </w:r>
            <w:r w:rsidRPr="002D122C">
              <w:rPr>
                <w:rFonts w:ascii="Arial" w:hAnsi="Arial" w:cs="Arial"/>
              </w:rPr>
              <w:t xml:space="preserve"> AIR NATIONAL GUARD</w:t>
            </w:r>
          </w:p>
        </w:tc>
      </w:tr>
      <w:tr w:rsidR="00F67E3B" w:rsidRPr="007D4769" w14:paraId="7694C425" w14:textId="77777777" w:rsidTr="003B268F">
        <w:trPr>
          <w:cantSplit/>
          <w:trHeight w:val="600"/>
        </w:trPr>
        <w:tc>
          <w:tcPr>
            <w:tcW w:w="55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94C41F" w14:textId="70D323E7" w:rsidR="00F67E3B" w:rsidRPr="007D4769" w:rsidRDefault="00F67E3B" w:rsidP="00B60056">
            <w:pPr>
              <w:rPr>
                <w:rFonts w:ascii="Arial" w:hAnsi="Arial" w:cs="Arial"/>
                <w:b/>
                <w:sz w:val="28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NEW YORK AIR NATIONAL GUARD</w:t>
            </w:r>
          </w:p>
          <w:p w14:paraId="7694C420" w14:textId="37405A98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</w:rPr>
              <w:t>10</w:t>
            </w:r>
            <w:r w:rsidR="004E204D" w:rsidRPr="007D4769">
              <w:rPr>
                <w:rFonts w:ascii="Arial" w:hAnsi="Arial" w:cs="Arial"/>
              </w:rPr>
              <w:t>5</w:t>
            </w:r>
            <w:r w:rsidR="00C16807" w:rsidRPr="007D4769">
              <w:rPr>
                <w:rFonts w:ascii="Arial" w:hAnsi="Arial" w:cs="Arial"/>
              </w:rPr>
              <w:t>th</w:t>
            </w:r>
            <w:r w:rsidRPr="007D4769">
              <w:rPr>
                <w:rFonts w:ascii="Arial" w:hAnsi="Arial" w:cs="Arial"/>
              </w:rPr>
              <w:t xml:space="preserve"> Airlift Wing</w:t>
            </w:r>
          </w:p>
          <w:p w14:paraId="7694C421" w14:textId="61B3D4A2" w:rsidR="00F67E3B" w:rsidRPr="007D4769" w:rsidRDefault="004E204D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</w:rPr>
              <w:t>Stewart</w:t>
            </w:r>
            <w:r w:rsidR="00F67E3B" w:rsidRPr="007D4769">
              <w:rPr>
                <w:rFonts w:ascii="Arial" w:hAnsi="Arial" w:cs="Arial"/>
              </w:rPr>
              <w:t xml:space="preserve"> Air National Guard Base</w:t>
            </w:r>
          </w:p>
          <w:p w14:paraId="7694C422" w14:textId="17A98484" w:rsidR="00F67E3B" w:rsidRPr="007D4769" w:rsidRDefault="004E204D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</w:rPr>
              <w:t>Newburgh</w:t>
            </w:r>
            <w:r w:rsidR="00F67E3B" w:rsidRPr="007D4769">
              <w:rPr>
                <w:rFonts w:ascii="Arial" w:hAnsi="Arial" w:cs="Arial"/>
              </w:rPr>
              <w:t xml:space="preserve">, NY </w:t>
            </w:r>
            <w:r w:rsidRPr="007D4769">
              <w:rPr>
                <w:rFonts w:ascii="Arial" w:hAnsi="Arial" w:cs="Arial"/>
              </w:rPr>
              <w:t>12550</w:t>
            </w:r>
          </w:p>
        </w:tc>
        <w:tc>
          <w:tcPr>
            <w:tcW w:w="355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94C423" w14:textId="77777777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 xml:space="preserve">ANNOUNCEMENT NO:   </w:t>
            </w:r>
            <w:r w:rsidRPr="007D4769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22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4" w14:textId="3659A5EE" w:rsidR="00F67E3B" w:rsidRPr="007D4769" w:rsidRDefault="00EF1E0D" w:rsidP="00243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FY2</w:t>
            </w:r>
            <w:r w:rsidR="000944AF">
              <w:rPr>
                <w:rFonts w:ascii="Arial" w:hAnsi="Arial" w:cs="Arial"/>
              </w:rPr>
              <w:t>5</w:t>
            </w:r>
            <w:r w:rsidR="00D6676F">
              <w:rPr>
                <w:rFonts w:ascii="Arial" w:hAnsi="Arial" w:cs="Arial"/>
              </w:rPr>
              <w:t>-</w:t>
            </w:r>
            <w:r w:rsidR="00CB0669">
              <w:rPr>
                <w:rFonts w:ascii="Arial" w:hAnsi="Arial" w:cs="Arial"/>
              </w:rPr>
              <w:t>127</w:t>
            </w:r>
          </w:p>
        </w:tc>
      </w:tr>
      <w:tr w:rsidR="00F67E3B" w:rsidRPr="007D4769" w14:paraId="7694C429" w14:textId="77777777" w:rsidTr="003B268F">
        <w:trPr>
          <w:cantSplit/>
          <w:trHeight w:hRule="exact" w:val="600"/>
        </w:trPr>
        <w:tc>
          <w:tcPr>
            <w:tcW w:w="552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94C426" w14:textId="77777777" w:rsidR="00F67E3B" w:rsidRPr="007D4769" w:rsidRDefault="00F67E3B" w:rsidP="00B60056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94C427" w14:textId="77777777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DATE:</w:t>
            </w:r>
            <w:r w:rsidRPr="007D4769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4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7704497D" w:rsidR="00F67E3B" w:rsidRPr="007D4769" w:rsidRDefault="00CB0669" w:rsidP="00A36F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11 August</w:t>
            </w:r>
            <w:r w:rsidR="00953C82">
              <w:rPr>
                <w:rFonts w:ascii="Arial" w:hAnsi="Arial" w:cs="Arial"/>
                <w:color w:val="FF0000"/>
              </w:rPr>
              <w:t xml:space="preserve"> 202</w:t>
            </w:r>
            <w:r w:rsidR="000944AF">
              <w:rPr>
                <w:rFonts w:ascii="Arial" w:hAnsi="Arial" w:cs="Arial"/>
                <w:color w:val="FF0000"/>
              </w:rPr>
              <w:t>5</w:t>
            </w:r>
          </w:p>
        </w:tc>
      </w:tr>
      <w:tr w:rsidR="00F67E3B" w:rsidRPr="007D4769" w14:paraId="7694C42D" w14:textId="77777777" w:rsidTr="003B268F">
        <w:trPr>
          <w:cantSplit/>
          <w:trHeight w:val="600"/>
        </w:trPr>
        <w:tc>
          <w:tcPr>
            <w:tcW w:w="552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94C42A" w14:textId="77777777" w:rsidR="00F67E3B" w:rsidRPr="007D4769" w:rsidRDefault="00F67E3B" w:rsidP="00B60056">
            <w:pPr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94C42B" w14:textId="77777777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 xml:space="preserve">CLOSING DATE:   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0034DE64" w:rsidR="00F67E3B" w:rsidRPr="007D4769" w:rsidRDefault="00CB0669" w:rsidP="00167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  <w:r w:rsidR="005D2489">
              <w:rPr>
                <w:rFonts w:ascii="Arial" w:hAnsi="Arial" w:cs="Arial"/>
                <w:color w:val="FF0000"/>
              </w:rPr>
              <w:t xml:space="preserve"> October</w:t>
            </w:r>
            <w:r w:rsidR="002657CD">
              <w:rPr>
                <w:rFonts w:ascii="Arial" w:hAnsi="Arial" w:cs="Arial"/>
                <w:color w:val="FF0000"/>
              </w:rPr>
              <w:t xml:space="preserve"> 202</w:t>
            </w:r>
            <w:r w:rsidR="000944AF">
              <w:rPr>
                <w:rFonts w:ascii="Arial" w:hAnsi="Arial" w:cs="Arial"/>
                <w:color w:val="FF0000"/>
              </w:rPr>
              <w:t>5</w:t>
            </w:r>
          </w:p>
        </w:tc>
      </w:tr>
      <w:tr w:rsidR="00F67E3B" w:rsidRPr="007D4769" w14:paraId="7694C432" w14:textId="77777777" w:rsidTr="003B268F">
        <w:trPr>
          <w:cantSplit/>
          <w:trHeight w:hRule="exact" w:val="424"/>
        </w:trPr>
        <w:tc>
          <w:tcPr>
            <w:tcW w:w="5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42F" w14:textId="43E5110D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UNIT</w:t>
            </w:r>
            <w:proofErr w:type="gramStart"/>
            <w:r w:rsidRPr="007D4769">
              <w:rPr>
                <w:rFonts w:ascii="Arial" w:hAnsi="Arial" w:cs="Arial"/>
                <w:b/>
                <w:sz w:val="28"/>
              </w:rPr>
              <w:t xml:space="preserve">: </w:t>
            </w:r>
            <w:r w:rsidRPr="007D4769">
              <w:rPr>
                <w:rFonts w:ascii="Arial" w:hAnsi="Arial" w:cs="Arial"/>
                <w:sz w:val="28"/>
              </w:rPr>
              <w:t xml:space="preserve"> </w:t>
            </w:r>
            <w:r w:rsidR="002657CD">
              <w:rPr>
                <w:rFonts w:ascii="Arial" w:hAnsi="Arial" w:cs="Arial"/>
              </w:rPr>
              <w:t>105th</w:t>
            </w:r>
            <w:proofErr w:type="gramEnd"/>
            <w:r w:rsidR="002657CD">
              <w:rPr>
                <w:rFonts w:ascii="Arial" w:hAnsi="Arial" w:cs="Arial"/>
              </w:rPr>
              <w:t xml:space="preserve"> </w:t>
            </w:r>
            <w:r w:rsidR="005D2489">
              <w:rPr>
                <w:rFonts w:ascii="Arial" w:hAnsi="Arial" w:cs="Arial"/>
              </w:rPr>
              <w:t>Base Defense Group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94C430" w14:textId="77777777" w:rsidR="00F67E3B" w:rsidRPr="007D4769" w:rsidRDefault="00F67E3B" w:rsidP="00B60056">
            <w:pPr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AFSC: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31" w14:textId="7C5D8EB6" w:rsidR="00F67E3B" w:rsidRPr="007D4769" w:rsidRDefault="002657CD" w:rsidP="00167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2489">
              <w:rPr>
                <w:rFonts w:ascii="Arial" w:hAnsi="Arial" w:cs="Arial"/>
              </w:rPr>
              <w:t>1P (Direct Commission)</w:t>
            </w:r>
          </w:p>
        </w:tc>
      </w:tr>
      <w:tr w:rsidR="00F67E3B" w:rsidRPr="007D4769" w14:paraId="7694C436" w14:textId="77777777" w:rsidTr="003B268F">
        <w:trPr>
          <w:cantSplit/>
          <w:trHeight w:val="500"/>
        </w:trPr>
        <w:tc>
          <w:tcPr>
            <w:tcW w:w="55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94C433" w14:textId="7F85F053" w:rsidR="00F67E3B" w:rsidRPr="007D4769" w:rsidRDefault="00F67E3B" w:rsidP="00C74173">
            <w:pPr>
              <w:contextualSpacing/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MAX AVAILABLE GRADE:</w:t>
            </w:r>
            <w:r w:rsidRPr="007D4769">
              <w:rPr>
                <w:rFonts w:ascii="Arial" w:hAnsi="Arial" w:cs="Arial"/>
              </w:rPr>
              <w:t xml:space="preserve">   </w:t>
            </w:r>
            <w:r w:rsidR="003F6D4A">
              <w:rPr>
                <w:rFonts w:ascii="Arial" w:hAnsi="Arial" w:cs="Arial"/>
              </w:rPr>
              <w:t>O-</w:t>
            </w:r>
            <w:r w:rsidR="002657CD">
              <w:rPr>
                <w:rFonts w:ascii="Arial" w:hAnsi="Arial" w:cs="Arial"/>
              </w:rPr>
              <w:t>4</w:t>
            </w:r>
            <w:r w:rsidR="00D41F2E">
              <w:rPr>
                <w:rFonts w:ascii="Arial" w:hAnsi="Arial" w:cs="Arial"/>
              </w:rPr>
              <w:t>/</w:t>
            </w:r>
            <w:r w:rsidR="002657CD">
              <w:rPr>
                <w:rFonts w:ascii="Arial" w:hAnsi="Arial" w:cs="Arial"/>
              </w:rPr>
              <w:t>Maj</w:t>
            </w: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94C435" w14:textId="69F54787" w:rsidR="00F67E3B" w:rsidRPr="007D4769" w:rsidRDefault="00F67E3B" w:rsidP="00D41F2E">
            <w:pPr>
              <w:contextualSpacing/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AREA OF CONSIDERATION:</w:t>
            </w:r>
            <w:r w:rsidR="00CC33C6" w:rsidRPr="007D4769">
              <w:rPr>
                <w:rFonts w:ascii="Arial" w:hAnsi="Arial" w:cs="Arial"/>
              </w:rPr>
              <w:t xml:space="preserve"> </w:t>
            </w:r>
            <w:r w:rsidR="00D41F2E">
              <w:rPr>
                <w:rFonts w:ascii="Arial" w:hAnsi="Arial" w:cs="Arial"/>
                <w:b/>
                <w:bCs/>
                <w:u w:val="single"/>
              </w:rPr>
              <w:t>NATIONWIDE</w:t>
            </w:r>
            <w:r w:rsidR="008924B0">
              <w:rPr>
                <w:rFonts w:ascii="Arial" w:hAnsi="Arial" w:cs="Arial"/>
              </w:rPr>
              <w:t xml:space="preserve"> </w:t>
            </w:r>
            <w:r w:rsidR="00D41F2E">
              <w:rPr>
                <w:rFonts w:ascii="Arial" w:hAnsi="Arial" w:cs="Arial"/>
              </w:rPr>
              <w:t>All</w:t>
            </w:r>
            <w:r w:rsidR="00F95FC5">
              <w:rPr>
                <w:rFonts w:ascii="Arial" w:hAnsi="Arial" w:cs="Arial"/>
              </w:rPr>
              <w:t xml:space="preserve"> </w:t>
            </w:r>
            <w:r w:rsidR="00D976F0">
              <w:rPr>
                <w:rFonts w:ascii="Arial" w:hAnsi="Arial" w:cs="Arial"/>
              </w:rPr>
              <w:t>eligible</w:t>
            </w:r>
          </w:p>
        </w:tc>
      </w:tr>
      <w:tr w:rsidR="00F67E3B" w:rsidRPr="007D4769" w14:paraId="7694C43A" w14:textId="77777777" w:rsidTr="003B268F">
        <w:trPr>
          <w:cantSplit/>
          <w:trHeight w:val="594"/>
        </w:trPr>
        <w:tc>
          <w:tcPr>
            <w:tcW w:w="55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94C437" w14:textId="6200484C" w:rsidR="00F67E3B" w:rsidRPr="007D4769" w:rsidRDefault="00F67E3B" w:rsidP="00C74173">
            <w:pPr>
              <w:contextualSpacing/>
              <w:rPr>
                <w:rFonts w:ascii="Arial" w:hAnsi="Arial" w:cs="Arial"/>
              </w:rPr>
            </w:pPr>
            <w:r w:rsidRPr="007D4769">
              <w:rPr>
                <w:rFonts w:ascii="Arial" w:hAnsi="Arial" w:cs="Arial"/>
                <w:b/>
                <w:sz w:val="28"/>
              </w:rPr>
              <w:t>POSITION TITLE</w:t>
            </w:r>
            <w:proofErr w:type="gramStart"/>
            <w:r w:rsidRPr="007D4769">
              <w:rPr>
                <w:rFonts w:ascii="Arial" w:hAnsi="Arial" w:cs="Arial"/>
                <w:b/>
                <w:sz w:val="28"/>
              </w:rPr>
              <w:t>:</w:t>
            </w:r>
            <w:r w:rsidR="001671AF" w:rsidRPr="007D4769">
              <w:rPr>
                <w:rFonts w:ascii="Arial" w:hAnsi="Arial" w:cs="Arial"/>
              </w:rPr>
              <w:t xml:space="preserve">  </w:t>
            </w:r>
            <w:r w:rsidR="005D2489">
              <w:rPr>
                <w:rFonts w:ascii="Arial" w:hAnsi="Arial" w:cs="Arial"/>
              </w:rPr>
              <w:t>Security</w:t>
            </w:r>
            <w:proofErr w:type="gramEnd"/>
            <w:r w:rsidR="005D2489">
              <w:rPr>
                <w:rFonts w:ascii="Arial" w:hAnsi="Arial" w:cs="Arial"/>
              </w:rPr>
              <w:t xml:space="preserve"> Forces</w:t>
            </w:r>
            <w:r w:rsidR="009827E4">
              <w:rPr>
                <w:rFonts w:ascii="Arial" w:hAnsi="Arial" w:cs="Arial"/>
              </w:rPr>
              <w:t xml:space="preserve"> Officer</w:t>
            </w:r>
          </w:p>
          <w:p w14:paraId="7694C438" w14:textId="0B01FF4C" w:rsidR="00F67E3B" w:rsidRPr="007D4769" w:rsidRDefault="00F67E3B" w:rsidP="00C741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94C439" w14:textId="77777777" w:rsidR="00F67E3B" w:rsidRPr="007D4769" w:rsidRDefault="00F67E3B" w:rsidP="00C74173">
            <w:pPr>
              <w:contextualSpacing/>
              <w:rPr>
                <w:rFonts w:ascii="Arial" w:hAnsi="Arial" w:cs="Arial"/>
              </w:rPr>
            </w:pPr>
          </w:p>
        </w:tc>
      </w:tr>
      <w:tr w:rsidR="001154A1" w:rsidRPr="007D4769" w14:paraId="2815D4CA" w14:textId="77777777" w:rsidTr="003B268F">
        <w:trPr>
          <w:trHeight w:val="864"/>
        </w:trPr>
        <w:tc>
          <w:tcPr>
            <w:tcW w:w="112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768B8" w14:textId="27E72C9F" w:rsidR="00FA2FFE" w:rsidRPr="0039086A" w:rsidRDefault="001154A1" w:rsidP="00FA2FFE">
            <w:pPr>
              <w:jc w:val="center"/>
              <w:rPr>
                <w:rFonts w:ascii="Arial" w:hAnsi="Arial" w:cs="Arial"/>
                <w:bCs/>
              </w:rPr>
            </w:pPr>
            <w:r w:rsidRPr="007D4769">
              <w:rPr>
                <w:rFonts w:ascii="Arial" w:hAnsi="Arial" w:cs="Arial"/>
                <w:b/>
              </w:rPr>
              <w:t>SPECIALTY SUMMARY</w:t>
            </w:r>
            <w:r w:rsidR="0039086A">
              <w:rPr>
                <w:rFonts w:ascii="Arial" w:hAnsi="Arial" w:cs="Arial"/>
                <w:b/>
              </w:rPr>
              <w:t xml:space="preserve"> </w:t>
            </w:r>
            <w:r w:rsidR="0039086A">
              <w:rPr>
                <w:rFonts w:ascii="Arial" w:hAnsi="Arial" w:cs="Arial"/>
                <w:bCs/>
              </w:rPr>
              <w:t xml:space="preserve">(As outlined in </w:t>
            </w:r>
            <w:r w:rsidR="009827E4">
              <w:rPr>
                <w:rFonts w:ascii="Arial" w:hAnsi="Arial" w:cs="Arial"/>
                <w:bCs/>
              </w:rPr>
              <w:t>CFETP</w:t>
            </w:r>
            <w:r w:rsidR="0039086A">
              <w:rPr>
                <w:rFonts w:ascii="Arial" w:hAnsi="Arial" w:cs="Arial"/>
                <w:bCs/>
              </w:rPr>
              <w:t>)</w:t>
            </w:r>
          </w:p>
          <w:p w14:paraId="269B1F8B" w14:textId="01F011CB" w:rsidR="001154A1" w:rsidRPr="007D4769" w:rsidRDefault="002608A7" w:rsidP="00EC1448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608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Supports the squadron commander leading, managing, and directing Security Forces (SF) functions. To include, but not limited </w:t>
            </w:r>
            <w:proofErr w:type="gramStart"/>
            <w:r w:rsidRPr="002608A7">
              <w:rPr>
                <w:rFonts w:ascii="Arial" w:hAnsi="Arial" w:cs="Arial"/>
                <w:snapToGrid w:val="0"/>
                <w:color w:val="000000"/>
                <w:sz w:val="20"/>
              </w:rPr>
              <w:t>too</w:t>
            </w:r>
            <w:proofErr w:type="gramEnd"/>
            <w:r w:rsidRPr="002608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proofErr w:type="gramStart"/>
            <w:r w:rsidRPr="002608A7">
              <w:rPr>
                <w:rFonts w:ascii="Arial" w:hAnsi="Arial" w:cs="Arial"/>
                <w:snapToGrid w:val="0"/>
                <w:color w:val="000000"/>
                <w:sz w:val="20"/>
              </w:rPr>
              <w:t>are:</w:t>
            </w:r>
            <w:proofErr w:type="gramEnd"/>
            <w:r w:rsidRPr="002608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installation, weapon system, and resource security; antiterrorism; force protection; law and order, investigations; installation access control; integrated defense; armament and equipment; training; pass and registration; and combat arms. SF duties may require use of deadly force.</w:t>
            </w:r>
          </w:p>
        </w:tc>
      </w:tr>
      <w:tr w:rsidR="00F67E3B" w:rsidRPr="007D4769" w14:paraId="7694C44C" w14:textId="77777777" w:rsidTr="002608A7">
        <w:trPr>
          <w:cantSplit/>
          <w:trHeight w:val="8775"/>
        </w:trPr>
        <w:tc>
          <w:tcPr>
            <w:tcW w:w="112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C8721" w14:textId="0716B930" w:rsidR="002C37AB" w:rsidRPr="002C37AB" w:rsidRDefault="002C37AB" w:rsidP="002C37AB">
            <w:pPr>
              <w:contextualSpacing/>
              <w:rPr>
                <w:rFonts w:ascii="Arial" w:hAnsi="Arial" w:cs="Arial"/>
                <w:bCs/>
                <w:sz w:val="20"/>
              </w:rPr>
            </w:pPr>
            <w:r w:rsidRPr="002C37AB">
              <w:rPr>
                <w:rFonts w:ascii="Arial" w:hAnsi="Arial" w:cs="Arial"/>
                <w:b/>
                <w:szCs w:val="24"/>
              </w:rPr>
              <w:t xml:space="preserve">MINIMUM QUALIFICATIONS: </w:t>
            </w:r>
            <w:r w:rsidRPr="002C37AB">
              <w:rPr>
                <w:rFonts w:ascii="Arial" w:hAnsi="Arial" w:cs="Arial"/>
                <w:bCs/>
                <w:sz w:val="20"/>
              </w:rPr>
              <w:t>Must be 18 years or older and commissioned prior to his/her 40th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C37AB">
              <w:rPr>
                <w:rFonts w:ascii="Arial" w:hAnsi="Arial" w:cs="Arial"/>
                <w:bCs/>
                <w:sz w:val="20"/>
              </w:rPr>
              <w:t>birthday. All applicants must submit proof of citizenship and be citizens of the United States IAW Title 32,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C37AB">
              <w:rPr>
                <w:rFonts w:ascii="Arial" w:hAnsi="Arial" w:cs="Arial"/>
                <w:bCs/>
                <w:sz w:val="20"/>
              </w:rPr>
              <w:t>U.S.C., Section 313. A valid state driver’s license. A baccalaureate or higher degree from an educational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C37AB">
              <w:rPr>
                <w:rFonts w:ascii="Arial" w:hAnsi="Arial" w:cs="Arial"/>
                <w:bCs/>
                <w:sz w:val="20"/>
              </w:rPr>
              <w:t>institution listed in the current Accredited Institutions of Post Secondary Education is required for all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Pr="002C37AB">
              <w:rPr>
                <w:rFonts w:ascii="Arial" w:hAnsi="Arial" w:cs="Arial"/>
                <w:bCs/>
                <w:sz w:val="20"/>
              </w:rPr>
              <w:t>appointment</w:t>
            </w:r>
            <w:proofErr w:type="gramEnd"/>
            <w:r w:rsidRPr="002C37AB">
              <w:rPr>
                <w:rFonts w:ascii="Arial" w:hAnsi="Arial" w:cs="Arial"/>
                <w:bCs/>
                <w:sz w:val="20"/>
              </w:rPr>
              <w:t xml:space="preserve">. AFOQT: For non-flying </w:t>
            </w:r>
            <w:proofErr w:type="gramStart"/>
            <w:r w:rsidRPr="002C37AB">
              <w:rPr>
                <w:rFonts w:ascii="Arial" w:hAnsi="Arial" w:cs="Arial"/>
                <w:bCs/>
                <w:sz w:val="20"/>
              </w:rPr>
              <w:t>duties</w:t>
            </w:r>
            <w:proofErr w:type="gramEnd"/>
            <w:r w:rsidRPr="002C37AB">
              <w:rPr>
                <w:rFonts w:ascii="Arial" w:hAnsi="Arial" w:cs="Arial"/>
                <w:bCs/>
                <w:sz w:val="20"/>
              </w:rPr>
              <w:t xml:space="preserve"> is at least in the 15th percentile in the verbal composite and at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2C37AB">
              <w:rPr>
                <w:rFonts w:ascii="Arial" w:hAnsi="Arial" w:cs="Arial"/>
                <w:bCs/>
                <w:sz w:val="20"/>
              </w:rPr>
              <w:t>least in the 10th percentile in the quantitative composite.</w:t>
            </w:r>
          </w:p>
          <w:p w14:paraId="54EE8C2B" w14:textId="77777777" w:rsidR="002608A7" w:rsidRDefault="002608A7" w:rsidP="002C37AB">
            <w:pPr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694C43C" w14:textId="24CFDA18" w:rsidR="00F67E3B" w:rsidRPr="00F3194A" w:rsidRDefault="00F67E3B" w:rsidP="002C37AB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F3194A">
              <w:rPr>
                <w:rFonts w:ascii="Arial" w:hAnsi="Arial" w:cs="Arial"/>
                <w:b/>
                <w:szCs w:val="24"/>
              </w:rPr>
              <w:t>QUALIFICATIONS AND SELECTION FACTORS:</w:t>
            </w:r>
          </w:p>
          <w:p w14:paraId="6443802C" w14:textId="124EBD83" w:rsidR="00BE5B9E" w:rsidRDefault="00C926B5" w:rsidP="00C926B5">
            <w:pPr>
              <w:pStyle w:val="BodyTextIndent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BE5B9E" w:rsidRPr="00BE5B9E">
              <w:rPr>
                <w:rFonts w:cs="Arial"/>
              </w:rPr>
              <w:t xml:space="preserve">The requirements and qualifications prescribed in this announcement are the minimum for nomination for appointment consideration. Appointment is not assured merely by meeting these requirements. </w:t>
            </w:r>
            <w:proofErr w:type="gramStart"/>
            <w:r w:rsidR="00BE5B9E" w:rsidRPr="00BE5B9E">
              <w:rPr>
                <w:rFonts w:cs="Arial"/>
              </w:rPr>
              <w:t>Persons</w:t>
            </w:r>
            <w:proofErr w:type="gramEnd"/>
            <w:r w:rsidR="00BE5B9E" w:rsidRPr="00BE5B9E">
              <w:rPr>
                <w:rFonts w:cs="Arial"/>
              </w:rPr>
              <w:t xml:space="preserve"> considered must further qualify with requirements outlined in applicable regulations. </w:t>
            </w:r>
          </w:p>
          <w:p w14:paraId="1E58FB05" w14:textId="1F8D9AA0" w:rsidR="009B4027" w:rsidRDefault="00C926B5" w:rsidP="000D41DF">
            <w:pPr>
              <w:pStyle w:val="BodyTextIndent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D41DF" w:rsidRPr="009B4027">
              <w:rPr>
                <w:rFonts w:cs="Arial"/>
                <w:b/>
                <w:bCs/>
              </w:rPr>
              <w:t xml:space="preserve">This is a Direct Commission opportunity. Applicants must hold a 3P071 </w:t>
            </w:r>
            <w:r w:rsidR="00DF16C4" w:rsidRPr="009B4027">
              <w:rPr>
                <w:rFonts w:cs="Arial"/>
                <w:b/>
                <w:bCs/>
              </w:rPr>
              <w:t xml:space="preserve">or 3P071B </w:t>
            </w:r>
            <w:r w:rsidR="000D41DF" w:rsidRPr="009B4027">
              <w:rPr>
                <w:rFonts w:cs="Arial"/>
                <w:b/>
                <w:bCs/>
              </w:rPr>
              <w:t>PAFSC</w:t>
            </w:r>
            <w:r w:rsidR="009B4027" w:rsidRPr="009B4027">
              <w:rPr>
                <w:rFonts w:cs="Arial"/>
                <w:b/>
                <w:bCs/>
              </w:rPr>
              <w:t>.</w:t>
            </w:r>
            <w:r w:rsidR="009B4027">
              <w:rPr>
                <w:rFonts w:cs="Arial"/>
              </w:rPr>
              <w:t xml:space="preserve"> H</w:t>
            </w:r>
            <w:r w:rsidR="009B4027" w:rsidRPr="009B4027">
              <w:rPr>
                <w:rFonts w:cs="Arial"/>
              </w:rPr>
              <w:t>ighly experienced applicants may be granted up to two years of Constructive Service Credit (up to one year for every eight years of SF experience). </w:t>
            </w:r>
          </w:p>
          <w:p w14:paraId="01F6358A" w14:textId="130F3665" w:rsidR="009B4027" w:rsidRPr="000D41DF" w:rsidRDefault="009B4027" w:rsidP="000D41DF">
            <w:pPr>
              <w:pStyle w:val="BodyTextIndent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All specialty qualifications to enter the 31P career field are listed below in </w:t>
            </w:r>
            <w:r w:rsidRPr="009B4027">
              <w:rPr>
                <w:rFonts w:cs="Arial"/>
                <w:b/>
                <w:bCs/>
                <w:u w:val="single"/>
              </w:rPr>
              <w:t>Addendum 1</w:t>
            </w:r>
          </w:p>
          <w:p w14:paraId="60C6A102" w14:textId="77777777" w:rsidR="000D41DF" w:rsidRPr="00BE5B9E" w:rsidRDefault="000D41DF" w:rsidP="000D41DF">
            <w:pPr>
              <w:pStyle w:val="BodyTextIndent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E5B9E">
              <w:rPr>
                <w:rFonts w:cs="Arial"/>
              </w:rPr>
              <w:t>Selection for this position will be made without regard to race, religion, color, creed, gender, or national origin.</w:t>
            </w:r>
          </w:p>
          <w:p w14:paraId="3F1BB0FA" w14:textId="77777777" w:rsidR="000D41DF" w:rsidRPr="00BE5B9E" w:rsidRDefault="000D41DF" w:rsidP="000D41DF">
            <w:pPr>
              <w:pStyle w:val="BodyTextIndent"/>
              <w:ind w:left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E5B9E">
              <w:rPr>
                <w:rFonts w:cs="Arial"/>
              </w:rPr>
              <w:t xml:space="preserve">Applicants are subject to review by the FSS to ensure all mandatory requirements are met, as outlined in applicable regulations, applicants must meet a board. </w:t>
            </w:r>
          </w:p>
          <w:p w14:paraId="28B5C801" w14:textId="77777777" w:rsidR="000D41DF" w:rsidRDefault="000D41DF" w:rsidP="004153B7">
            <w:pPr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</w:p>
          <w:p w14:paraId="37B5AAE1" w14:textId="5E842DB7" w:rsidR="004153B7" w:rsidRPr="00F3194A" w:rsidRDefault="004153B7" w:rsidP="004153B7">
            <w:pPr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>SELECTION BOARD:</w:t>
            </w:r>
          </w:p>
          <w:p w14:paraId="366B907E" w14:textId="77777777" w:rsidR="00D96F19" w:rsidRDefault="00C926B5" w:rsidP="004153B7">
            <w:pPr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B</w:t>
            </w:r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oard</w:t>
            </w:r>
            <w:proofErr w:type="gramEnd"/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will </w:t>
            </w:r>
            <w:proofErr w:type="gramStart"/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convene</w:t>
            </w:r>
            <w:proofErr w:type="gramEnd"/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to interview all qualified applicants. </w:t>
            </w:r>
            <w:r w:rsidR="004153B7" w:rsidRPr="00E0543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Applicants must be available for an interview. Applications will be reviewed</w:t>
            </w:r>
            <w:r w:rsidR="004153B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="004153B7" w:rsidRPr="00E0543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and qualified applicants will be </w:t>
            </w:r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informed either in writing or</w:t>
            </w:r>
            <w:r w:rsidR="004153B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="004153B7" w:rsidRPr="00C5023A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telephonically, of the date and time to appear.</w:t>
            </w:r>
          </w:p>
          <w:p w14:paraId="6EE1434D" w14:textId="1C1D51F9" w:rsidR="004153B7" w:rsidRPr="00D96F19" w:rsidRDefault="004153B7" w:rsidP="004153B7">
            <w:pPr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The Selecting Official is </w:t>
            </w:r>
            <w:r w:rsidR="009B402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Lt Col Michael A. Curtis</w:t>
            </w:r>
            <w:r w:rsidR="00C926B5" w:rsidRP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,</w:t>
            </w:r>
            <w:r w:rsidRP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105 </w:t>
            </w:r>
            <w:r w:rsidR="009B4027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BDG</w:t>
            </w:r>
            <w:r w:rsidRP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/CC.</w:t>
            </w:r>
          </w:p>
          <w:p w14:paraId="065F8EC9" w14:textId="77777777" w:rsidR="002608A7" w:rsidRDefault="002608A7" w:rsidP="007C75A3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4CB29A2E" w14:textId="3325E437" w:rsidR="00D96F19" w:rsidRDefault="007C75A3" w:rsidP="007C75A3">
            <w:pPr>
              <w:rPr>
                <w:rFonts w:ascii="Arial" w:hAnsi="Arial" w:cs="Arial"/>
                <w:bCs/>
                <w:snapToGrid w:val="0"/>
                <w:color w:val="000000"/>
                <w:sz w:val="20"/>
              </w:rPr>
            </w:pPr>
            <w:r w:rsidRPr="007C75A3">
              <w:rPr>
                <w:rFonts w:ascii="Arial" w:hAnsi="Arial" w:cs="Arial"/>
                <w:b/>
                <w:snapToGrid w:val="0"/>
                <w:color w:val="000000"/>
              </w:rPr>
              <w:t xml:space="preserve">APPLICATION PROCEDURES: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Applicants will prepare and forward a cover letter, or a copy of this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vacancy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announcement, Resume, Air Force Form 24 (Application for Appointment as Reserve of the Air Force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or USAF </w:t>
            </w:r>
            <w:r w:rsidR="00A51A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w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ithout Component) and Official Transcripts with raised seal</w:t>
            </w:r>
            <w:r w:rsidR="00A51A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, and AFOQT Scores</w:t>
            </w:r>
            <w:r w:rsidR="00520755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,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proofErr w:type="spellStart"/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vRIP</w:t>
            </w:r>
            <w:proofErr w:type="spellEnd"/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, Fitness </w:t>
            </w:r>
            <w:r w:rsidR="00A51AD4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Report,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and copy of DD 214 (if</w:t>
            </w:r>
            <w:r w:rsid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 xml:space="preserve"> </w:t>
            </w:r>
            <w:r w:rsidRPr="007C75A3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applicable)</w:t>
            </w:r>
            <w:r w:rsidR="00D96F19">
              <w:rPr>
                <w:rFonts w:ascii="Arial" w:hAnsi="Arial" w:cs="Arial"/>
                <w:bCs/>
                <w:snapToGrid w:val="0"/>
                <w:color w:val="000000"/>
                <w:sz w:val="20"/>
              </w:rPr>
              <w:t>.</w:t>
            </w:r>
            <w:r w:rsidR="00CB0669" w:rsidRPr="00CB0669">
              <w:rPr>
                <w:rFonts w:ascii="Arial" w:hAnsi="Arial" w:cs="Arial"/>
                <w:bCs/>
                <w:snapToGrid w:val="0"/>
                <w:color w:val="000000"/>
                <w:sz w:val="20"/>
                <w:u w:val="single"/>
              </w:rPr>
              <w:t>Please combine all documents in a single PDF.</w:t>
            </w:r>
          </w:p>
          <w:p w14:paraId="538E639E" w14:textId="77777777" w:rsidR="002608A7" w:rsidRDefault="002608A7" w:rsidP="007C75A3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</w:p>
          <w:p w14:paraId="60045F8F" w14:textId="1AF56773" w:rsidR="004153B7" w:rsidRPr="002608A7" w:rsidRDefault="004153B7" w:rsidP="007C75A3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2608A7">
              <w:rPr>
                <w:rFonts w:ascii="Arial" w:hAnsi="Arial" w:cs="Arial"/>
                <w:b/>
                <w:snapToGrid w:val="0"/>
                <w:color w:val="000000"/>
              </w:rPr>
              <w:t>APPLICATION PACKAGES WILL ONLY BE ACCEPTED VIA E-MAIL.</w:t>
            </w:r>
          </w:p>
          <w:p w14:paraId="0EC855E2" w14:textId="7957AD78" w:rsidR="004153B7" w:rsidRDefault="004153B7" w:rsidP="007C75A3">
            <w:pPr>
              <w:rPr>
                <w:rFonts w:ascii="Arial" w:hAnsi="Arial" w:cs="Arial"/>
                <w:snapToGrid w:val="0"/>
                <w:color w:val="000000"/>
                <w:sz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Please e-mail your packages to the 105 FSS POC, MSgt </w:t>
            </w:r>
            <w:r w:rsidR="00C926B5">
              <w:rPr>
                <w:rFonts w:ascii="Arial" w:hAnsi="Arial" w:cs="Arial"/>
                <w:snapToGrid w:val="0"/>
                <w:color w:val="000000"/>
                <w:sz w:val="20"/>
              </w:rPr>
              <w:t>Grant Drumgold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at </w:t>
            </w:r>
            <w:r w:rsidR="00C926B5">
              <w:rPr>
                <w:rFonts w:ascii="Arial" w:hAnsi="Arial" w:cs="Arial"/>
                <w:snapToGrid w:val="0"/>
                <w:color w:val="000000"/>
                <w:sz w:val="20"/>
              </w:rPr>
              <w:t>grant.drumgold</w:t>
            </w:r>
            <w:r w:rsidR="009716E7">
              <w:rPr>
                <w:rFonts w:ascii="Arial" w:hAnsi="Arial" w:cs="Arial"/>
                <w:snapToGrid w:val="0"/>
                <w:color w:val="000000"/>
                <w:sz w:val="20"/>
              </w:rPr>
              <w:t>.1</w:t>
            </w:r>
            <w:r w:rsidRPr="008C5147">
              <w:rPr>
                <w:rFonts w:ascii="Arial" w:hAnsi="Arial" w:cs="Arial"/>
                <w:snapToGrid w:val="0"/>
                <w:color w:val="000000"/>
                <w:sz w:val="20"/>
              </w:rPr>
              <w:t>@us.af.mil</w:t>
            </w:r>
            <w:r>
              <w:rPr>
                <w:rFonts w:ascii="Arial" w:hAnsi="Arial" w:cs="Arial"/>
                <w:snapToGrid w:val="0"/>
                <w:color w:val="000000"/>
                <w:sz w:val="20"/>
              </w:rPr>
              <w:t>.</w:t>
            </w:r>
          </w:p>
          <w:p w14:paraId="321E0E6A" w14:textId="77777777" w:rsidR="004153B7" w:rsidRPr="009716E7" w:rsidRDefault="004153B7" w:rsidP="009716E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14:paraId="461BD917" w14:textId="77777777" w:rsidR="004153B7" w:rsidRDefault="004153B7" w:rsidP="004153B7">
            <w:pPr>
              <w:pStyle w:val="ListParagraph"/>
              <w:ind w:left="34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</w:pPr>
            <w:r w:rsidRPr="000318CC"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  <w:t xml:space="preserve">APPLICATIONS 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  <w:t>ARE DUE</w:t>
            </w:r>
            <w:r w:rsidRPr="000318CC"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  <w:t xml:space="preserve"> NO LATER THAN CLOSE OF </w:t>
            </w:r>
          </w:p>
          <w:p w14:paraId="3564265E" w14:textId="77777777" w:rsidR="004153B7" w:rsidRPr="00FA7A94" w:rsidRDefault="004153B7" w:rsidP="004153B7">
            <w:pPr>
              <w:pStyle w:val="ListParagraph"/>
              <w:ind w:left="34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</w:pPr>
            <w:r w:rsidRPr="000318CC"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  <w:t xml:space="preserve">BUSINESS OF </w:t>
            </w:r>
            <w:r w:rsidRPr="00FA7A94">
              <w:rPr>
                <w:rFonts w:ascii="Arial" w:hAnsi="Arial" w:cs="Arial"/>
                <w:b/>
                <w:bCs/>
                <w:snapToGrid w:val="0"/>
                <w:color w:val="FF0000"/>
                <w:sz w:val="20"/>
              </w:rPr>
              <w:t>CLOSING DATE OF THIS ANNOUNCEMENT.</w:t>
            </w:r>
          </w:p>
          <w:p w14:paraId="72DBB8A8" w14:textId="77777777" w:rsidR="004153B7" w:rsidRDefault="004153B7" w:rsidP="004153B7">
            <w:pPr>
              <w:rPr>
                <w:rFonts w:ascii="Arial" w:hAnsi="Arial" w:cs="Arial"/>
                <w:sz w:val="20"/>
              </w:rPr>
            </w:pPr>
          </w:p>
          <w:p w14:paraId="7694C44B" w14:textId="79D2F501" w:rsidR="005A48F1" w:rsidRPr="004153B7" w:rsidRDefault="005A48F1" w:rsidP="004153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94C487" w14:textId="77777777" w:rsidR="00AD3574" w:rsidRDefault="00AD3574" w:rsidP="00AD0289">
      <w:pPr>
        <w:rPr>
          <w:rFonts w:ascii="Arial" w:hAnsi="Arial" w:cs="Arial"/>
        </w:rPr>
      </w:pPr>
    </w:p>
    <w:p w14:paraId="1078B53A" w14:textId="1B766807" w:rsidR="005A48F1" w:rsidRPr="007D4769" w:rsidRDefault="005A48F1" w:rsidP="00AD0289">
      <w:pPr>
        <w:rPr>
          <w:rFonts w:ascii="Arial" w:hAnsi="Arial" w:cs="Arial"/>
        </w:rPr>
      </w:pPr>
      <w:r w:rsidRPr="005A48F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187B9" wp14:editId="7D46C480">
                <wp:simplePos x="0" y="0"/>
                <wp:positionH relativeFrom="column">
                  <wp:posOffset>179705</wp:posOffset>
                </wp:positionH>
                <wp:positionV relativeFrom="paragraph">
                  <wp:posOffset>139700</wp:posOffset>
                </wp:positionV>
                <wp:extent cx="7115810" cy="9434830"/>
                <wp:effectExtent l="19050" t="1905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943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0DB3" w14:textId="492B2432" w:rsidR="005A48F1" w:rsidRPr="009B4027" w:rsidRDefault="005A48F1">
                            <w:pPr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9B4027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Addendum</w:t>
                            </w:r>
                            <w:r w:rsidR="009B4027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 1</w:t>
                            </w:r>
                            <w:r w:rsidRPr="009B4027"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  <w:t>: 31P Specialty Qualifications pulled from Air Force Officer Classification Directory 31 OCT 2023</w:t>
                            </w:r>
                          </w:p>
                          <w:p w14:paraId="75216775" w14:textId="77777777" w:rsidR="005A48F1" w:rsidRPr="005A48F1" w:rsidRDefault="005A48F1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</w:p>
                          <w:p w14:paraId="76BE57F9" w14:textId="77777777" w:rsidR="005A48F1" w:rsidRPr="009B4027" w:rsidRDefault="005A48F1">
                            <w:pPr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 For entry and award into this specialty, accessions must be screened for eligibility and meet the following requirements: </w:t>
                            </w:r>
                          </w:p>
                          <w:p w14:paraId="1DE9705B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3.5.1.1. Normal color vision, as defined by getting a 75 or better on the Cone Contrast Test (CCT), or, correctly identifying at least 12 of 14 Ishihara </w:t>
                            </w:r>
                            <w:proofErr w:type="gramStart"/>
                            <w:r w:rsidRPr="009B4027">
                              <w:rPr>
                                <w:sz w:val="20"/>
                              </w:rPr>
                              <w:t>Plates(</w:t>
                            </w:r>
                            <w:proofErr w:type="gramEnd"/>
                            <w:r w:rsidRPr="009B4027">
                              <w:rPr>
                                <w:sz w:val="20"/>
                              </w:rPr>
                              <w:t xml:space="preserve">PIP). (CCT should be primary testing choice, but PIP is acceptable if CCT is not available at testing site.) Waivers may be approved on a case-by-case basis by the Career Field Manager. </w:t>
                            </w:r>
                          </w:p>
                          <w:p w14:paraId="418EFA82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3.5.1.2. No history of excessive alcohol use or been arrested in the past two years for two or more alcohol related incidents regardless of disposition, except when found not guilty. </w:t>
                            </w:r>
                          </w:p>
                          <w:p w14:paraId="51AAB88D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3.5.1.3. Must not have used a substance (sniffing/huffing) to obtain an altered conscious state from aerosol spray, lighter fluid, </w:t>
                            </w:r>
                            <w:proofErr w:type="spellStart"/>
                            <w:r w:rsidRPr="009B4027">
                              <w:rPr>
                                <w:sz w:val="20"/>
                              </w:rPr>
                              <w:t>petro</w:t>
                            </w:r>
                            <w:proofErr w:type="spellEnd"/>
                            <w:r w:rsidRPr="009B4027">
                              <w:rPr>
                                <w:sz w:val="20"/>
                              </w:rPr>
                              <w:t xml:space="preserve"> chemical, adhesives, Freon, or any other chemical for a purpose not intended for use. </w:t>
                            </w:r>
                          </w:p>
                          <w:p w14:paraId="7526C07A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3.5.1.4. No more than one active wage garnishment for delinquency. </w:t>
                            </w:r>
                          </w:p>
                          <w:p w14:paraId="71BC8A07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3.5.1.5. No more than two delinquent charge off/collection (&gt;= 30 days) payments within last two years. </w:t>
                            </w:r>
                          </w:p>
                          <w:p w14:paraId="77302700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3.5.1.6. Within three years prior to entry into military service, not have been terminated from civilian employment more than twice for reasons of misconduct, theft, or alcohol use. </w:t>
                            </w:r>
                          </w:p>
                          <w:p w14:paraId="14A6FB66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3.5.1.7. No record of sleep disorders to include, but not limited to, sleep apnea, insomnia, hypersomnia, narcolepsy, or restless leg syndrome. </w:t>
                            </w:r>
                          </w:p>
                          <w:p w14:paraId="62F7C5B8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3.5.1.8. No current diagnosis of </w:t>
                            </w:r>
                            <w:proofErr w:type="gramStart"/>
                            <w:r w:rsidRPr="009B4027">
                              <w:rPr>
                                <w:sz w:val="20"/>
                              </w:rPr>
                              <w:t>Attention Deficit Disorder</w:t>
                            </w:r>
                            <w:proofErr w:type="gramEnd"/>
                            <w:r w:rsidRPr="009B4027">
                              <w:rPr>
                                <w:sz w:val="20"/>
                              </w:rPr>
                              <w:t xml:space="preserve">/Attention Deficit Hyperactivity Disorder or perceptual or learning disorder(s), with no use of medication(s) to treat same in the last 12 months. </w:t>
                            </w:r>
                          </w:p>
                          <w:p w14:paraId="15AACACF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3.5.1.9. No history of any of the Bipolar and Related Disorders, Depressive Disorders, or </w:t>
                            </w:r>
                            <w:proofErr w:type="gramStart"/>
                            <w:r w:rsidRPr="009B4027">
                              <w:rPr>
                                <w:sz w:val="20"/>
                              </w:rPr>
                              <w:t>Anxiety Disorders</w:t>
                            </w:r>
                            <w:proofErr w:type="gramEnd"/>
                            <w:r w:rsidRPr="009B4027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486AC6D2" w14:textId="77777777" w:rsidR="005A48F1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3.5.1.10 Must not have a of Self-Directed Violence or Self-Directed Violence-Preparatory or suicide attempts. If there is a record of </w:t>
                            </w:r>
                            <w:proofErr w:type="spellStart"/>
                            <w:r w:rsidRPr="009B4027">
                              <w:rPr>
                                <w:sz w:val="20"/>
                              </w:rPr>
                              <w:t>selfdirected</w:t>
                            </w:r>
                            <w:proofErr w:type="spellEnd"/>
                            <w:r w:rsidRPr="009B4027">
                              <w:rPr>
                                <w:sz w:val="20"/>
                              </w:rPr>
                              <w:t xml:space="preserve"> violence, self-directed violence-preparatory, or suicide attempts (as defined by the VA/DoD Clinical Practice Guideline for Assessment and Management of Patients at Risks for Suicide and the Under Secretary of Defense’s (USD) Memorandum on Standardization of Common Suicide-Related Definitions), the accession authority’s final determination on entry/award will be informed by the opinion of a qualified Mental Health (MH) Professional. </w:t>
                            </w:r>
                          </w:p>
                          <w:p w14:paraId="77F6682F" w14:textId="77777777" w:rsidR="005A48F1" w:rsidRPr="009B4027" w:rsidRDefault="005A48F1">
                            <w:pPr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 For entry, award and retention of this AFSC, the following are mandatory: </w:t>
                            </w:r>
                          </w:p>
                          <w:p w14:paraId="3FDF5C76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3.5.2.1. No recorded evidence of personality disorder that negatively affects duty performance. </w:t>
                            </w:r>
                          </w:p>
                          <w:p w14:paraId="2DC080AE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3.5.2.1.1. Must not have a sustained or untreatable emotional instability to include depression or suicidal ideations. </w:t>
                            </w:r>
                          </w:p>
                          <w:p w14:paraId="4634095E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3.5.2.2. Distance visual acuity correctable to 20/20 in one eye and 20/30 in the other. </w:t>
                            </w:r>
                          </w:p>
                          <w:p w14:paraId="3126FFEA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3.5.3.3. Qualification for arming, suitability to arm, or suitability under the Personnel Reliability Assurance Program IAW AFI 31-117, Arming and Use of Force by Air Force Personnel. </w:t>
                            </w:r>
                          </w:p>
                          <w:p w14:paraId="3A4C99DA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3.5.2.4. Never been convicted by a general, special, or summary courts-martial. </w:t>
                            </w:r>
                          </w:p>
                          <w:p w14:paraId="48B7BA62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3.5.2.5. Never received non-judicial punishment under the UCMJ for offenses involving substantiated drug abuse as defined in AFI 44-121, Alcohol and Drug Abuse Prevention and Treatment (ADAPT) Program. </w:t>
                            </w:r>
                          </w:p>
                          <w:p w14:paraId="3407789E" w14:textId="1DAB1E5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3.5.2.6. Never been diagnosed with a severe substance use disorder by a certified medical provider. </w:t>
                            </w:r>
                            <w:proofErr w:type="gramStart"/>
                            <w:r w:rsidRPr="009B4027">
                              <w:rPr>
                                <w:sz w:val="20"/>
                              </w:rPr>
                              <w:t>For the purpose of</w:t>
                            </w:r>
                            <w:proofErr w:type="gramEnd"/>
                            <w:r w:rsidRPr="009B4027">
                              <w:rPr>
                                <w:sz w:val="20"/>
                              </w:rPr>
                              <w:t xml:space="preserve"> retention standards as part of this classification directory, alcohol related disorders are defined separately from other substance use disorders. </w:t>
                            </w:r>
                          </w:p>
                          <w:p w14:paraId="0E9FBD5D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3.5.2.7. Never received non-judicial punishment for acts of larceny, wrongful appropriation, robbery, burglary, unlawful entry, housebreaking, misconduct in combat as defined in UCMJ articles 99-106, or any act that harms or has the potential to harm the physical safety or well- being of animals to include Military Working Dogs. </w:t>
                            </w:r>
                          </w:p>
                          <w:p w14:paraId="76617554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3.5.2.8. Never have been convicted by a civilian court of a Category 1 or 2 offense. Conviction of Category 3 offenses are not acceptable for entry into the AFSC. After award of the AFSC, conviction of Category 3 offenses are grounds for withdrawal of the AFSC if deemed appropriate by the commander. Category 4 traffic offenses alone are not disqualifying. Offenses are described and listed in AFI 36- 2002, Regular Air Force and Special Category Accessions, Uniform Guide List of Typical Offenses. </w:t>
                            </w:r>
                          </w:p>
                          <w:p w14:paraId="53638999" w14:textId="2CA2A35A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3.5.2.9. No speech disorder or noticeable communication deficiency as defined in AFI 48-123. </w:t>
                            </w:r>
                          </w:p>
                          <w:p w14:paraId="714A37D4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3.5.2.10. Must possess a valid state driver’s license to operate government motor </w:t>
                            </w:r>
                            <w:proofErr w:type="spellStart"/>
                            <w:r w:rsidRPr="009B4027">
                              <w:rPr>
                                <w:sz w:val="20"/>
                              </w:rPr>
                              <w:t>vehiclesIAW</w:t>
                            </w:r>
                            <w:proofErr w:type="spellEnd"/>
                            <w:r w:rsidRPr="009B4027">
                              <w:rPr>
                                <w:sz w:val="20"/>
                              </w:rPr>
                              <w:t xml:space="preserve"> AFI 24-301, Vehicle Operations. </w:t>
                            </w:r>
                          </w:p>
                          <w:p w14:paraId="4A8563E3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3.5.2.11. No diagnosed fear of heights or confined spaces. </w:t>
                            </w:r>
                          </w:p>
                          <w:p w14:paraId="64E1A866" w14:textId="40063E00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3.5.2.12. No documented record of gang affiliation. </w:t>
                            </w:r>
                          </w:p>
                          <w:p w14:paraId="4791DDC7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3.5.2.13. No fear working around nuclear weapons or components, nor have an identifiable negative opinion of the role of nuclear weapons in our nation’s strategic deterrent mission. </w:t>
                            </w:r>
                          </w:p>
                          <w:p w14:paraId="15175C06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3.5.2.14. Must not have used/distributed/manufactured illicit narcotics as defined in schedule I/II, used a drug that can cause a flashback, or been arrested for narcotics in schedules I through V as listed in 21 USC §812. Exclude use of marijuana, hashish, or other cannabis-based products for entry unless that use resulted in the documentation of a use disorder by a credentialed medical provider. </w:t>
                            </w:r>
                          </w:p>
                          <w:p w14:paraId="6917ECC8" w14:textId="77777777" w:rsidR="009B4027" w:rsidRPr="009B4027" w:rsidRDefault="005A48F1" w:rsidP="009B4027">
                            <w:pPr>
                              <w:ind w:left="1350" w:hanging="630"/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3.5.2.15. Never failed (or failed to participate in) prescribed rehabilitation program or treatment regimen after being diagnosed by a certified medical provider with an alcohol use disorder. </w:t>
                            </w:r>
                          </w:p>
                          <w:p w14:paraId="1B872EA2" w14:textId="77777777" w:rsidR="009B4027" w:rsidRPr="009B4027" w:rsidRDefault="005A48F1">
                            <w:pPr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 xml:space="preserve">3.5.3. For award and retention of these AFSCs, must maintain local network access IAW AFI 17-130, Cybersecurity Program Management and AFMAN 17-1301, Computer Security. </w:t>
                            </w:r>
                          </w:p>
                          <w:p w14:paraId="73A93B78" w14:textId="55E3B442" w:rsidR="005A48F1" w:rsidRPr="009B4027" w:rsidRDefault="005A48F1">
                            <w:pPr>
                              <w:rPr>
                                <w:sz w:val="20"/>
                              </w:rPr>
                            </w:pPr>
                            <w:r w:rsidRPr="009B4027">
                              <w:rPr>
                                <w:sz w:val="20"/>
                              </w:rPr>
                              <w:t>3.5.4. Specialty requires routine access to Tier 3 (T3) information, systems or similar classified environments. For award and retention of AFSCs 31PX, completion of a current T3 Investigation IAW DoDM 5200.02_AFMAN 16-1405, Air Force Personnel Security Program.</w:t>
                            </w:r>
                          </w:p>
                          <w:p w14:paraId="542C2390" w14:textId="77777777" w:rsidR="005A48F1" w:rsidRDefault="005A48F1"/>
                          <w:p w14:paraId="5F3B7A40" w14:textId="77777777" w:rsidR="005A48F1" w:rsidRDefault="005A4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15pt;margin-top:11pt;width:560.3pt;height:74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" strokeweight="2.25pt">
                <v:textbox>
                  <w:txbxContent>
                    <w:p w14:paraId="4E1C0DB3" w14:textId="492B2432" w:rsidR="005A48F1" w:rsidRPr="009B4027" w:rsidRDefault="005A48F1">
                      <w:pPr>
                        <w:rPr>
                          <w:b/>
                          <w:bCs/>
                          <w:sz w:val="22"/>
                          <w:szCs w:val="18"/>
                        </w:rPr>
                      </w:pPr>
                      <w:r w:rsidRPr="009B4027">
                        <w:rPr>
                          <w:b/>
                          <w:bCs/>
                          <w:sz w:val="22"/>
                          <w:szCs w:val="18"/>
                        </w:rPr>
                        <w:t>Addendum</w:t>
                      </w:r>
                      <w:r w:rsidR="009B4027">
                        <w:rPr>
                          <w:b/>
                          <w:bCs/>
                          <w:sz w:val="22"/>
                          <w:szCs w:val="18"/>
                        </w:rPr>
                        <w:t xml:space="preserve"> 1</w:t>
                      </w:r>
                      <w:r w:rsidRPr="009B4027">
                        <w:rPr>
                          <w:b/>
                          <w:bCs/>
                          <w:sz w:val="22"/>
                          <w:szCs w:val="18"/>
                        </w:rPr>
                        <w:t>: 31P Specialty Qualifications pulled from Air Force Officer Classification Directory 31 OCT 2023</w:t>
                      </w:r>
                    </w:p>
                    <w:p w14:paraId="75216775" w14:textId="77777777" w:rsidR="005A48F1" w:rsidRPr="005A48F1" w:rsidRDefault="005A48F1">
                      <w:pPr>
                        <w:rPr>
                          <w:sz w:val="18"/>
                          <w:szCs w:val="14"/>
                        </w:rPr>
                      </w:pPr>
                    </w:p>
                    <w:p w14:paraId="76BE57F9" w14:textId="77777777" w:rsidR="005A48F1" w:rsidRPr="009B4027" w:rsidRDefault="005A48F1">
                      <w:pPr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 For entry and award into this specialty, accessions must be screened for eligibility and meet the following requirements: </w:t>
                      </w:r>
                    </w:p>
                    <w:p w14:paraId="1DE9705B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3.5.1.1. Normal color vision, as defined by getting a 75 or better on the Cone Contrast Test (CCT), or, correctly identifying at least 12 of 14 Ishihara </w:t>
                      </w:r>
                      <w:proofErr w:type="gramStart"/>
                      <w:r w:rsidRPr="009B4027">
                        <w:rPr>
                          <w:sz w:val="20"/>
                        </w:rPr>
                        <w:t>Plates(</w:t>
                      </w:r>
                      <w:proofErr w:type="gramEnd"/>
                      <w:r w:rsidRPr="009B4027">
                        <w:rPr>
                          <w:sz w:val="20"/>
                        </w:rPr>
                        <w:t xml:space="preserve">PIP). (CCT should be primary testing choice, but PIP is acceptable if CCT is not available at testing site.) Waivers may be approved on a case-by-case basis by the Career Field Manager. </w:t>
                      </w:r>
                    </w:p>
                    <w:p w14:paraId="418EFA82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3.5.1.2. No history of excessive alcohol use or been arrested in the past two years for two or more alcohol related incidents regardless of disposition, except when found not guilty. </w:t>
                      </w:r>
                    </w:p>
                    <w:p w14:paraId="51AAB88D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3.5.1.3. Must not have used a substance (sniffing/huffing) to obtain an altered conscious state from aerosol spray, lighter fluid, </w:t>
                      </w:r>
                      <w:proofErr w:type="spellStart"/>
                      <w:r w:rsidRPr="009B4027">
                        <w:rPr>
                          <w:sz w:val="20"/>
                        </w:rPr>
                        <w:t>petro</w:t>
                      </w:r>
                      <w:proofErr w:type="spellEnd"/>
                      <w:r w:rsidRPr="009B4027">
                        <w:rPr>
                          <w:sz w:val="20"/>
                        </w:rPr>
                        <w:t xml:space="preserve"> chemical, adhesives, Freon, or any other chemical for a purpose not intended for use. </w:t>
                      </w:r>
                    </w:p>
                    <w:p w14:paraId="7526C07A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3.5.1.4. No more than one active wage garnishment for delinquency. </w:t>
                      </w:r>
                    </w:p>
                    <w:p w14:paraId="71BC8A07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3.5.1.5. No more than two delinquent charge off/collection (&gt;= 30 days) payments within last two years. </w:t>
                      </w:r>
                    </w:p>
                    <w:p w14:paraId="77302700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3.5.1.6. Within three years prior to entry into military service, not have been terminated from civilian employment more than twice for reasons of misconduct, theft, or alcohol use. </w:t>
                      </w:r>
                    </w:p>
                    <w:p w14:paraId="14A6FB66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3.5.1.7. No record of sleep disorders to include, but not limited to, sleep apnea, insomnia, hypersomnia, narcolepsy, or restless leg syndrome. </w:t>
                      </w:r>
                    </w:p>
                    <w:p w14:paraId="62F7C5B8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3.5.1.8. No current diagnosis of </w:t>
                      </w:r>
                      <w:proofErr w:type="gramStart"/>
                      <w:r w:rsidRPr="009B4027">
                        <w:rPr>
                          <w:sz w:val="20"/>
                        </w:rPr>
                        <w:t>Attention Deficit Disorder</w:t>
                      </w:r>
                      <w:proofErr w:type="gramEnd"/>
                      <w:r w:rsidRPr="009B4027">
                        <w:rPr>
                          <w:sz w:val="20"/>
                        </w:rPr>
                        <w:t xml:space="preserve">/Attention Deficit Hyperactivity Disorder or perceptual or learning disorder(s), with no use of medication(s) to treat same in the last 12 months. </w:t>
                      </w:r>
                    </w:p>
                    <w:p w14:paraId="15AACACF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3.5.1.9. No history of any of the Bipolar and Related Disorders, Depressive Disorders, or </w:t>
                      </w:r>
                      <w:proofErr w:type="gramStart"/>
                      <w:r w:rsidRPr="009B4027">
                        <w:rPr>
                          <w:sz w:val="20"/>
                        </w:rPr>
                        <w:t>Anxiety Disorders</w:t>
                      </w:r>
                      <w:proofErr w:type="gramEnd"/>
                      <w:r w:rsidRPr="009B4027">
                        <w:rPr>
                          <w:sz w:val="20"/>
                        </w:rPr>
                        <w:t xml:space="preserve">. </w:t>
                      </w:r>
                    </w:p>
                    <w:p w14:paraId="486AC6D2" w14:textId="77777777" w:rsidR="005A48F1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3.5.1.10 Must not have a of Self-Directed Violence or Self-Directed Violence-Preparatory or suicide attempts. If there is a record of </w:t>
                      </w:r>
                      <w:proofErr w:type="spellStart"/>
                      <w:r w:rsidRPr="009B4027">
                        <w:rPr>
                          <w:sz w:val="20"/>
                        </w:rPr>
                        <w:t>selfdirected</w:t>
                      </w:r>
                      <w:proofErr w:type="spellEnd"/>
                      <w:r w:rsidRPr="009B4027">
                        <w:rPr>
                          <w:sz w:val="20"/>
                        </w:rPr>
                        <w:t xml:space="preserve"> violence, self-directed violence-preparatory, or suicide attempts (as defined by the VA/DoD Clinical Practice Guideline for Assessment and Management of Patients at Risks for Suicide and the Under Secretary of Defense’s (USD) Memorandum on Standardization</w:t>
                      </w:r>
                      <w:r w:rsidRPr="009B4027">
                        <w:rPr>
                          <w:sz w:val="20"/>
                        </w:rPr>
                        <w:t xml:space="preserve"> </w:t>
                      </w:r>
                      <w:r w:rsidRPr="009B4027">
                        <w:rPr>
                          <w:sz w:val="20"/>
                        </w:rPr>
                        <w:t xml:space="preserve">of Common Suicide-Related Definitions), the accession authority’s final determination on entry/award will be informed by the opinion of a qualified Mental Health (MH) Professional. </w:t>
                      </w:r>
                    </w:p>
                    <w:p w14:paraId="77F6682F" w14:textId="77777777" w:rsidR="005A48F1" w:rsidRPr="009B4027" w:rsidRDefault="005A48F1">
                      <w:pPr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 For entry, award and retention of this AFSC, the following are mandatory: </w:t>
                      </w:r>
                    </w:p>
                    <w:p w14:paraId="3FDF5C76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3.5.2.1. No recorded evidence of personality disorder that negatively affects duty performance. </w:t>
                      </w:r>
                    </w:p>
                    <w:p w14:paraId="2DC080AE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3.5.2.1.1. Must not have a sustained or untreatable emotional instability to include depression or suicidal ideations. </w:t>
                      </w:r>
                    </w:p>
                    <w:p w14:paraId="4634095E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3.5.2.2. Distance visual acuity correctable to 20/20 in one eye and 20/30 in the other. </w:t>
                      </w:r>
                    </w:p>
                    <w:p w14:paraId="3126FFEA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3.5.3.3. Qualification for arming, suitability to arm, or suitability under the Personnel Reliability Assurance Program IAW AFI 31-117, Arming and Use of Force by Air Force Personnel. </w:t>
                      </w:r>
                    </w:p>
                    <w:p w14:paraId="3A4C99DA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3.5.2.4. Never been convicted by a general, special, or summary courts-martial. </w:t>
                      </w:r>
                    </w:p>
                    <w:p w14:paraId="48B7BA62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3.5.2.5. Never received non-judicial punishment under the UCMJ for offenses involving substantiated drug abuse as defined in AFI 44-121, Alcohol and Drug Abuse Prevention and Treatment (ADAPT) Program. </w:t>
                      </w:r>
                    </w:p>
                    <w:p w14:paraId="3407789E" w14:textId="1DAB1E5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3.5.2.6. Never been diagnosed with a severe substance use disorder by a certified medical provider. </w:t>
                      </w:r>
                      <w:proofErr w:type="gramStart"/>
                      <w:r w:rsidRPr="009B4027">
                        <w:rPr>
                          <w:sz w:val="20"/>
                        </w:rPr>
                        <w:t>For the purpose of</w:t>
                      </w:r>
                      <w:proofErr w:type="gramEnd"/>
                      <w:r w:rsidRPr="009B4027">
                        <w:rPr>
                          <w:sz w:val="20"/>
                        </w:rPr>
                        <w:t xml:space="preserve"> retention standards as part of this classification directory, alcohol related disorders are defined separately from other substance use disorders. </w:t>
                      </w:r>
                    </w:p>
                    <w:p w14:paraId="0E9FBD5D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3.5.2.7. Never received non-judicial punishment for acts of larceny, wrongful appropriation, robbery, burglary, unlawful entry, housebreaking, misconduct in combat as defined in UCMJ articles 99-106, or any act that harms or has the potential to harm the physical safety or well- being of animals to include Military Working Dogs. </w:t>
                      </w:r>
                    </w:p>
                    <w:p w14:paraId="76617554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3.5.2.8. Never have been convicted by a civilian court of a Category 1 or 2 offense. Conviction of Category 3 offenses are not acceptable for entry into the AFSC. After award of the AFSC, conviction of Category 3 offenses are grounds for withdrawal of the AFSC if deemed appropriate by the commander. Category 4 traffic offenses alone are not disqualifying. Offenses are described and listed in AFI 36- 2002, Regular Air Force and Special Category Accessions, Uniform Guide List of Typical Offenses. </w:t>
                      </w:r>
                    </w:p>
                    <w:p w14:paraId="53638999" w14:textId="2CA2A35A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3.5.2.9. No speech disorder or noticeable communication deficiency as defined in AFI 48-123. </w:t>
                      </w:r>
                    </w:p>
                    <w:p w14:paraId="714A37D4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3.5.2.10. Must possess a valid state driver’s license to operate government motor </w:t>
                      </w:r>
                      <w:proofErr w:type="spellStart"/>
                      <w:r w:rsidRPr="009B4027">
                        <w:rPr>
                          <w:sz w:val="20"/>
                        </w:rPr>
                        <w:t>vehiclesIAW</w:t>
                      </w:r>
                      <w:proofErr w:type="spellEnd"/>
                      <w:r w:rsidRPr="009B4027">
                        <w:rPr>
                          <w:sz w:val="20"/>
                        </w:rPr>
                        <w:t xml:space="preserve"> AFI 24-301, Vehicle Operations. </w:t>
                      </w:r>
                    </w:p>
                    <w:p w14:paraId="4A8563E3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3.5.2.11. No diagnosed fear of heights or confined spaces. </w:t>
                      </w:r>
                    </w:p>
                    <w:p w14:paraId="64E1A866" w14:textId="40063E00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3.5.2.12. No documented record of gang affiliation. </w:t>
                      </w:r>
                    </w:p>
                    <w:p w14:paraId="4791DDC7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3.5.2.13. No fear working around nuclear weapons or components, nor have an identifiable negative opinion of the role of nuclear weapons in our nation’s strategic deterrent mission. </w:t>
                      </w:r>
                    </w:p>
                    <w:p w14:paraId="15175C06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3.5.2.14. Must not have used/distributed/manufactured illicit narcotics as defined in schedule I/II, used a drug that can cause a flashback, or been arrested for narcotics in schedules I through V as listed in 21 USC §812. Exclude use of marijuana, hashish, or other cannabis-based products for entry unless that use resulted in the documentation of a use disorder by a credentialed medical provider. </w:t>
                      </w:r>
                    </w:p>
                    <w:p w14:paraId="6917ECC8" w14:textId="77777777" w:rsidR="009B4027" w:rsidRPr="009B4027" w:rsidRDefault="005A48F1" w:rsidP="009B4027">
                      <w:pPr>
                        <w:ind w:left="1350" w:hanging="630"/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3.5.2.15. Never failed (or failed to participate in) prescribed rehabilitation program or treatment regimen after being diagnosed by a certified medical provider with an alcohol use disorder. </w:t>
                      </w:r>
                    </w:p>
                    <w:p w14:paraId="1B872EA2" w14:textId="77777777" w:rsidR="009B4027" w:rsidRPr="009B4027" w:rsidRDefault="005A48F1">
                      <w:pPr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 xml:space="preserve">3.5.3. For award and retention of these AFSCs, must maintain local network access IAW AFI 17-130, Cybersecurity Program Management and AFMAN 17-1301, Computer Security. </w:t>
                      </w:r>
                    </w:p>
                    <w:p w14:paraId="73A93B78" w14:textId="55E3B442" w:rsidR="005A48F1" w:rsidRPr="009B4027" w:rsidRDefault="005A48F1">
                      <w:pPr>
                        <w:rPr>
                          <w:sz w:val="20"/>
                        </w:rPr>
                      </w:pPr>
                      <w:r w:rsidRPr="009B4027">
                        <w:rPr>
                          <w:sz w:val="20"/>
                        </w:rPr>
                        <w:t>3.5.4. Specialty requires routine access to Tier 3 (T3) information, systems or similar classified environments. For award and retention of AFSCs 31PX, completion of a current T3 Investigation IAW DoDM 5200.02_AFMAN 16-1405, Air Force Personnel Security</w:t>
                      </w:r>
                      <w:r w:rsidRPr="009B4027">
                        <w:rPr>
                          <w:sz w:val="20"/>
                        </w:rPr>
                        <w:t xml:space="preserve"> Program.</w:t>
                      </w:r>
                    </w:p>
                    <w:p w14:paraId="542C2390" w14:textId="77777777" w:rsidR="005A48F1" w:rsidRDefault="005A48F1"/>
                    <w:p w14:paraId="5F3B7A40" w14:textId="77777777" w:rsidR="005A48F1" w:rsidRDefault="005A48F1"/>
                  </w:txbxContent>
                </v:textbox>
                <w10:wrap type="square"/>
              </v:shape>
            </w:pict>
          </mc:Fallback>
        </mc:AlternateContent>
      </w:r>
    </w:p>
    <w:sectPr w:rsidR="005A48F1" w:rsidRPr="007D4769" w:rsidSect="0075030D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61B2" w14:textId="77777777" w:rsidR="0075030D" w:rsidRDefault="0075030D">
      <w:r>
        <w:separator/>
      </w:r>
    </w:p>
  </w:endnote>
  <w:endnote w:type="continuationSeparator" w:id="0">
    <w:p w14:paraId="61972F32" w14:textId="77777777" w:rsidR="0075030D" w:rsidRDefault="007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95D9" w14:textId="77777777" w:rsidR="0075030D" w:rsidRDefault="0075030D">
      <w:r>
        <w:separator/>
      </w:r>
    </w:p>
  </w:footnote>
  <w:footnote w:type="continuationSeparator" w:id="0">
    <w:p w14:paraId="34A68991" w14:textId="77777777" w:rsidR="0075030D" w:rsidRDefault="0075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3325F"/>
    <w:multiLevelType w:val="hybridMultilevel"/>
    <w:tmpl w:val="D0C46944"/>
    <w:lvl w:ilvl="0" w:tplc="FCF04D4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143E2"/>
    <w:multiLevelType w:val="hybridMultilevel"/>
    <w:tmpl w:val="27540C38"/>
    <w:lvl w:ilvl="0" w:tplc="5E6CB2D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F35548"/>
    <w:multiLevelType w:val="hybridMultilevel"/>
    <w:tmpl w:val="E92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A80F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C485F30"/>
    <w:multiLevelType w:val="hybridMultilevel"/>
    <w:tmpl w:val="088A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9D586D"/>
    <w:multiLevelType w:val="hybridMultilevel"/>
    <w:tmpl w:val="0C9AF3EA"/>
    <w:lvl w:ilvl="0" w:tplc="FCF04D4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9093271">
    <w:abstractNumId w:val="0"/>
  </w:num>
  <w:num w:numId="2" w16cid:durableId="827789973">
    <w:abstractNumId w:val="6"/>
  </w:num>
  <w:num w:numId="3" w16cid:durableId="1865051312">
    <w:abstractNumId w:val="13"/>
  </w:num>
  <w:num w:numId="4" w16cid:durableId="2020814177">
    <w:abstractNumId w:val="11"/>
  </w:num>
  <w:num w:numId="5" w16cid:durableId="51008647">
    <w:abstractNumId w:val="9"/>
  </w:num>
  <w:num w:numId="6" w16cid:durableId="1769303314">
    <w:abstractNumId w:val="17"/>
  </w:num>
  <w:num w:numId="7" w16cid:durableId="648049766">
    <w:abstractNumId w:val="22"/>
  </w:num>
  <w:num w:numId="8" w16cid:durableId="114443349">
    <w:abstractNumId w:val="1"/>
  </w:num>
  <w:num w:numId="9" w16cid:durableId="1844666761">
    <w:abstractNumId w:val="19"/>
  </w:num>
  <w:num w:numId="10" w16cid:durableId="2059472252">
    <w:abstractNumId w:val="10"/>
  </w:num>
  <w:num w:numId="11" w16cid:durableId="694505748">
    <w:abstractNumId w:val="23"/>
  </w:num>
  <w:num w:numId="12" w16cid:durableId="613682534">
    <w:abstractNumId w:val="25"/>
  </w:num>
  <w:num w:numId="13" w16cid:durableId="1558710927">
    <w:abstractNumId w:val="20"/>
  </w:num>
  <w:num w:numId="14" w16cid:durableId="1660772568">
    <w:abstractNumId w:val="5"/>
  </w:num>
  <w:num w:numId="15" w16cid:durableId="1017390100">
    <w:abstractNumId w:val="24"/>
  </w:num>
  <w:num w:numId="16" w16cid:durableId="413943467">
    <w:abstractNumId w:val="4"/>
  </w:num>
  <w:num w:numId="17" w16cid:durableId="62919076">
    <w:abstractNumId w:val="7"/>
  </w:num>
  <w:num w:numId="18" w16cid:durableId="863514611">
    <w:abstractNumId w:val="16"/>
  </w:num>
  <w:num w:numId="19" w16cid:durableId="2014185032">
    <w:abstractNumId w:val="2"/>
  </w:num>
  <w:num w:numId="20" w16cid:durableId="1492793468">
    <w:abstractNumId w:val="27"/>
  </w:num>
  <w:num w:numId="21" w16cid:durableId="766273254">
    <w:abstractNumId w:val="3"/>
  </w:num>
  <w:num w:numId="22" w16cid:durableId="1762680192">
    <w:abstractNumId w:val="8"/>
  </w:num>
  <w:num w:numId="23" w16cid:durableId="234362719">
    <w:abstractNumId w:val="12"/>
  </w:num>
  <w:num w:numId="24" w16cid:durableId="1889104729">
    <w:abstractNumId w:val="27"/>
  </w:num>
  <w:num w:numId="25" w16cid:durableId="981352778">
    <w:abstractNumId w:val="11"/>
  </w:num>
  <w:num w:numId="26" w16cid:durableId="221522512">
    <w:abstractNumId w:val="3"/>
  </w:num>
  <w:num w:numId="27" w16cid:durableId="1775592981">
    <w:abstractNumId w:val="8"/>
  </w:num>
  <w:num w:numId="28" w16cid:durableId="994379863">
    <w:abstractNumId w:val="12"/>
  </w:num>
  <w:num w:numId="29" w16cid:durableId="186720555">
    <w:abstractNumId w:val="15"/>
  </w:num>
  <w:num w:numId="30" w16cid:durableId="1374306027">
    <w:abstractNumId w:val="26"/>
  </w:num>
  <w:num w:numId="31" w16cid:durableId="1810711424">
    <w:abstractNumId w:val="14"/>
  </w:num>
  <w:num w:numId="32" w16cid:durableId="1850634126">
    <w:abstractNumId w:val="21"/>
  </w:num>
  <w:num w:numId="33" w16cid:durableId="17218574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10916"/>
    <w:rsid w:val="00015D31"/>
    <w:rsid w:val="00021587"/>
    <w:rsid w:val="000236BC"/>
    <w:rsid w:val="000262A0"/>
    <w:rsid w:val="000318CC"/>
    <w:rsid w:val="000476E1"/>
    <w:rsid w:val="00052E46"/>
    <w:rsid w:val="00055B70"/>
    <w:rsid w:val="00056053"/>
    <w:rsid w:val="00057038"/>
    <w:rsid w:val="00082A2F"/>
    <w:rsid w:val="000838BE"/>
    <w:rsid w:val="000944AF"/>
    <w:rsid w:val="000A04FE"/>
    <w:rsid w:val="000A4EF4"/>
    <w:rsid w:val="000B18D9"/>
    <w:rsid w:val="000B2504"/>
    <w:rsid w:val="000B5A5C"/>
    <w:rsid w:val="000D41DF"/>
    <w:rsid w:val="000E4735"/>
    <w:rsid w:val="00106F94"/>
    <w:rsid w:val="00107F6F"/>
    <w:rsid w:val="00113DC3"/>
    <w:rsid w:val="00114241"/>
    <w:rsid w:val="001154A1"/>
    <w:rsid w:val="0012347D"/>
    <w:rsid w:val="001408D6"/>
    <w:rsid w:val="001460BF"/>
    <w:rsid w:val="00150580"/>
    <w:rsid w:val="00160CFB"/>
    <w:rsid w:val="00164330"/>
    <w:rsid w:val="001671AF"/>
    <w:rsid w:val="00171DF6"/>
    <w:rsid w:val="00177D5E"/>
    <w:rsid w:val="00192FE9"/>
    <w:rsid w:val="001B40C9"/>
    <w:rsid w:val="001D0F88"/>
    <w:rsid w:val="001D67EA"/>
    <w:rsid w:val="0021627D"/>
    <w:rsid w:val="00221ED0"/>
    <w:rsid w:val="00231F40"/>
    <w:rsid w:val="002410A2"/>
    <w:rsid w:val="00243F29"/>
    <w:rsid w:val="0024702E"/>
    <w:rsid w:val="00247B2B"/>
    <w:rsid w:val="0025109B"/>
    <w:rsid w:val="002545F0"/>
    <w:rsid w:val="002608A7"/>
    <w:rsid w:val="002657CD"/>
    <w:rsid w:val="00272CF1"/>
    <w:rsid w:val="00287DF0"/>
    <w:rsid w:val="0029493A"/>
    <w:rsid w:val="00297117"/>
    <w:rsid w:val="002B10A9"/>
    <w:rsid w:val="002C0C02"/>
    <w:rsid w:val="002C37AB"/>
    <w:rsid w:val="002C6254"/>
    <w:rsid w:val="002D122C"/>
    <w:rsid w:val="002D5CD7"/>
    <w:rsid w:val="002F2FD1"/>
    <w:rsid w:val="00301330"/>
    <w:rsid w:val="00322707"/>
    <w:rsid w:val="0034036D"/>
    <w:rsid w:val="00343F3E"/>
    <w:rsid w:val="00354063"/>
    <w:rsid w:val="00362AED"/>
    <w:rsid w:val="0039086A"/>
    <w:rsid w:val="003A0C83"/>
    <w:rsid w:val="003B268F"/>
    <w:rsid w:val="003B3FA8"/>
    <w:rsid w:val="003C1A0C"/>
    <w:rsid w:val="003D402D"/>
    <w:rsid w:val="003E48A5"/>
    <w:rsid w:val="003F6D4A"/>
    <w:rsid w:val="004153B7"/>
    <w:rsid w:val="00416C42"/>
    <w:rsid w:val="00432F8A"/>
    <w:rsid w:val="00444C3C"/>
    <w:rsid w:val="0044517C"/>
    <w:rsid w:val="0045230A"/>
    <w:rsid w:val="004531DF"/>
    <w:rsid w:val="00453A38"/>
    <w:rsid w:val="00467E68"/>
    <w:rsid w:val="00485170"/>
    <w:rsid w:val="00494160"/>
    <w:rsid w:val="004D5164"/>
    <w:rsid w:val="004E204D"/>
    <w:rsid w:val="004E7817"/>
    <w:rsid w:val="00520755"/>
    <w:rsid w:val="005213E6"/>
    <w:rsid w:val="0052499C"/>
    <w:rsid w:val="005510F5"/>
    <w:rsid w:val="00555488"/>
    <w:rsid w:val="00562F0B"/>
    <w:rsid w:val="00572E00"/>
    <w:rsid w:val="005749BC"/>
    <w:rsid w:val="00580C86"/>
    <w:rsid w:val="00585E94"/>
    <w:rsid w:val="0058797B"/>
    <w:rsid w:val="005A01A0"/>
    <w:rsid w:val="005A48F1"/>
    <w:rsid w:val="005A5C7E"/>
    <w:rsid w:val="005B6FB7"/>
    <w:rsid w:val="005C4E63"/>
    <w:rsid w:val="005C7C08"/>
    <w:rsid w:val="005D2489"/>
    <w:rsid w:val="005D4E6B"/>
    <w:rsid w:val="005E683E"/>
    <w:rsid w:val="00610309"/>
    <w:rsid w:val="00613476"/>
    <w:rsid w:val="00614A3D"/>
    <w:rsid w:val="00623841"/>
    <w:rsid w:val="00641D2B"/>
    <w:rsid w:val="00642F37"/>
    <w:rsid w:val="00644FFD"/>
    <w:rsid w:val="006505DF"/>
    <w:rsid w:val="00653ADA"/>
    <w:rsid w:val="006642DE"/>
    <w:rsid w:val="00675984"/>
    <w:rsid w:val="00676F03"/>
    <w:rsid w:val="006850ED"/>
    <w:rsid w:val="00693059"/>
    <w:rsid w:val="006D68A2"/>
    <w:rsid w:val="006E18B7"/>
    <w:rsid w:val="0070287F"/>
    <w:rsid w:val="00704FD1"/>
    <w:rsid w:val="0071063D"/>
    <w:rsid w:val="0073728A"/>
    <w:rsid w:val="0075030D"/>
    <w:rsid w:val="00750851"/>
    <w:rsid w:val="00765977"/>
    <w:rsid w:val="0077076E"/>
    <w:rsid w:val="00772AA4"/>
    <w:rsid w:val="00785C00"/>
    <w:rsid w:val="007A3FB4"/>
    <w:rsid w:val="007A434C"/>
    <w:rsid w:val="007C75A3"/>
    <w:rsid w:val="007D4769"/>
    <w:rsid w:val="007F63CA"/>
    <w:rsid w:val="008210B2"/>
    <w:rsid w:val="008353FE"/>
    <w:rsid w:val="008370A5"/>
    <w:rsid w:val="00837FCC"/>
    <w:rsid w:val="0084502D"/>
    <w:rsid w:val="008704A1"/>
    <w:rsid w:val="00877CC1"/>
    <w:rsid w:val="00884A4E"/>
    <w:rsid w:val="008924B0"/>
    <w:rsid w:val="008A09C9"/>
    <w:rsid w:val="008A5C31"/>
    <w:rsid w:val="008B7083"/>
    <w:rsid w:val="008B70D7"/>
    <w:rsid w:val="008C2C69"/>
    <w:rsid w:val="008C5147"/>
    <w:rsid w:val="008D4541"/>
    <w:rsid w:val="00901240"/>
    <w:rsid w:val="0090178D"/>
    <w:rsid w:val="009100A2"/>
    <w:rsid w:val="00910665"/>
    <w:rsid w:val="00913C18"/>
    <w:rsid w:val="00915933"/>
    <w:rsid w:val="0092259A"/>
    <w:rsid w:val="0092270B"/>
    <w:rsid w:val="009329E2"/>
    <w:rsid w:val="00932DF0"/>
    <w:rsid w:val="00940CE9"/>
    <w:rsid w:val="00942EBF"/>
    <w:rsid w:val="00953C82"/>
    <w:rsid w:val="00956BC2"/>
    <w:rsid w:val="00965FCF"/>
    <w:rsid w:val="009716E7"/>
    <w:rsid w:val="009827E4"/>
    <w:rsid w:val="00995E94"/>
    <w:rsid w:val="009B3EE2"/>
    <w:rsid w:val="009B4027"/>
    <w:rsid w:val="009C47CF"/>
    <w:rsid w:val="009D466E"/>
    <w:rsid w:val="009E4B87"/>
    <w:rsid w:val="009E4FF4"/>
    <w:rsid w:val="009E62D5"/>
    <w:rsid w:val="009F5582"/>
    <w:rsid w:val="00A00EC2"/>
    <w:rsid w:val="00A119E0"/>
    <w:rsid w:val="00A2052A"/>
    <w:rsid w:val="00A22C90"/>
    <w:rsid w:val="00A2376B"/>
    <w:rsid w:val="00A36FDC"/>
    <w:rsid w:val="00A41C29"/>
    <w:rsid w:val="00A51AD4"/>
    <w:rsid w:val="00A55DF0"/>
    <w:rsid w:val="00A729F6"/>
    <w:rsid w:val="00A76EAB"/>
    <w:rsid w:val="00AB579F"/>
    <w:rsid w:val="00AC08C1"/>
    <w:rsid w:val="00AD0289"/>
    <w:rsid w:val="00AD3574"/>
    <w:rsid w:val="00AE0ACD"/>
    <w:rsid w:val="00AE1C69"/>
    <w:rsid w:val="00AE4596"/>
    <w:rsid w:val="00B263C2"/>
    <w:rsid w:val="00B44245"/>
    <w:rsid w:val="00B60056"/>
    <w:rsid w:val="00B80D2C"/>
    <w:rsid w:val="00B83D8E"/>
    <w:rsid w:val="00B869CC"/>
    <w:rsid w:val="00B877F1"/>
    <w:rsid w:val="00BE5B9E"/>
    <w:rsid w:val="00BF0F6E"/>
    <w:rsid w:val="00C0534D"/>
    <w:rsid w:val="00C0566C"/>
    <w:rsid w:val="00C10491"/>
    <w:rsid w:val="00C16807"/>
    <w:rsid w:val="00C23DC9"/>
    <w:rsid w:val="00C4044C"/>
    <w:rsid w:val="00C432B4"/>
    <w:rsid w:val="00C5023A"/>
    <w:rsid w:val="00C51C8B"/>
    <w:rsid w:val="00C7136B"/>
    <w:rsid w:val="00C74173"/>
    <w:rsid w:val="00C83A45"/>
    <w:rsid w:val="00C879EA"/>
    <w:rsid w:val="00C926B5"/>
    <w:rsid w:val="00C96908"/>
    <w:rsid w:val="00CB0669"/>
    <w:rsid w:val="00CB0AF1"/>
    <w:rsid w:val="00CC33C6"/>
    <w:rsid w:val="00CD36E4"/>
    <w:rsid w:val="00CE7528"/>
    <w:rsid w:val="00D00CF8"/>
    <w:rsid w:val="00D15760"/>
    <w:rsid w:val="00D36DE4"/>
    <w:rsid w:val="00D41F2E"/>
    <w:rsid w:val="00D45D9E"/>
    <w:rsid w:val="00D53A31"/>
    <w:rsid w:val="00D551C0"/>
    <w:rsid w:val="00D6676F"/>
    <w:rsid w:val="00D7194B"/>
    <w:rsid w:val="00D72BD5"/>
    <w:rsid w:val="00D96F19"/>
    <w:rsid w:val="00D976F0"/>
    <w:rsid w:val="00DC6C48"/>
    <w:rsid w:val="00DD2284"/>
    <w:rsid w:val="00DD2F92"/>
    <w:rsid w:val="00DD6721"/>
    <w:rsid w:val="00DF16C4"/>
    <w:rsid w:val="00E01D3E"/>
    <w:rsid w:val="00E04296"/>
    <w:rsid w:val="00E04F41"/>
    <w:rsid w:val="00E05437"/>
    <w:rsid w:val="00E05BC1"/>
    <w:rsid w:val="00E06D37"/>
    <w:rsid w:val="00E616B4"/>
    <w:rsid w:val="00E94368"/>
    <w:rsid w:val="00EA2986"/>
    <w:rsid w:val="00EA6669"/>
    <w:rsid w:val="00EB0F40"/>
    <w:rsid w:val="00EB7238"/>
    <w:rsid w:val="00EC10FC"/>
    <w:rsid w:val="00EC1448"/>
    <w:rsid w:val="00EF1E0D"/>
    <w:rsid w:val="00F021AC"/>
    <w:rsid w:val="00F13150"/>
    <w:rsid w:val="00F27A55"/>
    <w:rsid w:val="00F3194A"/>
    <w:rsid w:val="00F6049A"/>
    <w:rsid w:val="00F61A30"/>
    <w:rsid w:val="00F67E3B"/>
    <w:rsid w:val="00F72FD4"/>
    <w:rsid w:val="00F74BAB"/>
    <w:rsid w:val="00F85A57"/>
    <w:rsid w:val="00F90C44"/>
    <w:rsid w:val="00F91313"/>
    <w:rsid w:val="00F95FC5"/>
    <w:rsid w:val="00F97F3D"/>
    <w:rsid w:val="00FA2FFE"/>
    <w:rsid w:val="00FA386D"/>
    <w:rsid w:val="00FA456B"/>
    <w:rsid w:val="00FA7A94"/>
    <w:rsid w:val="00FB254B"/>
    <w:rsid w:val="00FB54AF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84ECD971-8AE5-4FF7-A5EC-68AB137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E5B9E"/>
    <w:pPr>
      <w:ind w:left="720"/>
      <w:contextualSpacing/>
    </w:pPr>
  </w:style>
  <w:style w:type="character" w:styleId="Hyperlink">
    <w:name w:val="Hyperlink"/>
    <w:basedOn w:val="DefaultParagraphFont"/>
    <w:unhideWhenUsed/>
    <w:rsid w:val="00031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9E9B170A42B4F9420D638F98EEAC2" ma:contentTypeVersion="10" ma:contentTypeDescription="Create a new document." ma:contentTypeScope="" ma:versionID="6a96f6b769f58dd7563998eb3e9d2176">
  <xsd:schema xmlns:xsd="http://www.w3.org/2001/XMLSchema" xmlns:xs="http://www.w3.org/2001/XMLSchema" xmlns:p="http://schemas.microsoft.com/office/2006/metadata/properties" xmlns:ns1="http://schemas.microsoft.com/sharepoint/v3" xmlns:ns3="061b6f43-3396-48d3-9766-31d53eb68fc1" targetNamespace="http://schemas.microsoft.com/office/2006/metadata/properties" ma:root="true" ma:fieldsID="2ddd985c331cf4070056650ce95b5b0a" ns1:_="" ns3:_="">
    <xsd:import namespace="http://schemas.microsoft.com/sharepoint/v3"/>
    <xsd:import namespace="061b6f43-3396-48d3-9766-31d53eb68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b6f43-3396-48d3-9766-31d53eb6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62097F-4366-4963-B356-2B86F69B8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1b6f43-3396-48d3-9766-31d53eb68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DRUMGOLD, GRANT W MSgt USAF ANG 105 AW/DPMR/Recruiting</cp:lastModifiedBy>
  <cp:revision>2</cp:revision>
  <cp:lastPrinted>2022-02-16T19:23:00Z</cp:lastPrinted>
  <dcterms:created xsi:type="dcterms:W3CDTF">2025-08-11T18:13:00Z</dcterms:created>
  <dcterms:modified xsi:type="dcterms:W3CDTF">2025-08-11T18:13:00Z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0x0101006989E9B170A42B4F9420D638F98EEAC2</vt:lpwstr>
  </property>
</Properties>
</file>